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EF733" w14:textId="77777777" w:rsidR="007F797B" w:rsidRPr="009A0B08" w:rsidRDefault="009A0B08">
      <w:pPr>
        <w:rPr>
          <w:b/>
        </w:rPr>
      </w:pPr>
      <w:bookmarkStart w:id="0" w:name="_GoBack"/>
      <w:bookmarkEnd w:id="0"/>
      <w:r w:rsidRPr="009A0B08">
        <w:rPr>
          <w:b/>
        </w:rPr>
        <w:t>Project Description:</w:t>
      </w:r>
    </w:p>
    <w:p w14:paraId="3CDE3F10" w14:textId="77777777" w:rsidR="009A0B08" w:rsidRDefault="009A0B08"/>
    <w:p w14:paraId="352612FE" w14:textId="77777777" w:rsidR="009A0B08" w:rsidRPr="00751E4B" w:rsidRDefault="009A0B08" w:rsidP="00683578">
      <w:pPr>
        <w:pStyle w:val="NoSpacing"/>
        <w:rPr>
          <w:sz w:val="24"/>
          <w:szCs w:val="24"/>
        </w:rPr>
      </w:pPr>
      <w:r w:rsidRPr="00751E4B">
        <w:rPr>
          <w:sz w:val="24"/>
          <w:szCs w:val="24"/>
        </w:rPr>
        <w:t xml:space="preserve">Tissue perfusion is affected in a wide range of pathologies including neoplasms, inflammation, and ischemia.  A quantitative biomarker of perfusion therefore would be widely useful for assessment of multiple clinical situations.  Although Doppler evaluation of blood flow is used as an assessment of blood perfusion it is not sufficient, as it does not reflect the blood flow at the microcirculatory level. </w:t>
      </w:r>
    </w:p>
    <w:p w14:paraId="10B36D5F" w14:textId="77777777" w:rsidR="009A0B08" w:rsidRPr="00751E4B" w:rsidRDefault="009A0B08" w:rsidP="00683578">
      <w:pPr>
        <w:pStyle w:val="NoSpacing"/>
        <w:rPr>
          <w:sz w:val="24"/>
          <w:szCs w:val="24"/>
        </w:rPr>
      </w:pPr>
    </w:p>
    <w:p w14:paraId="4E7799D9" w14:textId="0CCEFC4B" w:rsidR="009A0B08" w:rsidRPr="00751E4B" w:rsidRDefault="009A0B08" w:rsidP="00683578">
      <w:pPr>
        <w:pStyle w:val="NoSpacing"/>
        <w:rPr>
          <w:sz w:val="24"/>
          <w:szCs w:val="24"/>
        </w:rPr>
      </w:pPr>
      <w:r w:rsidRPr="00751E4B">
        <w:rPr>
          <w:sz w:val="24"/>
          <w:szCs w:val="24"/>
        </w:rPr>
        <w:t xml:space="preserve">As a non-invasive technique with no renal or hepatic toxicity, </w:t>
      </w:r>
      <w:r w:rsidR="00240469">
        <w:rPr>
          <w:sz w:val="24"/>
          <w:szCs w:val="24"/>
        </w:rPr>
        <w:t>contrast-e</w:t>
      </w:r>
      <w:r w:rsidRPr="00751E4B">
        <w:rPr>
          <w:sz w:val="24"/>
          <w:szCs w:val="24"/>
        </w:rPr>
        <w:t xml:space="preserve">nhanced </w:t>
      </w:r>
      <w:r w:rsidR="00240469">
        <w:rPr>
          <w:sz w:val="24"/>
          <w:szCs w:val="24"/>
        </w:rPr>
        <w:t>u</w:t>
      </w:r>
      <w:r w:rsidR="00240469" w:rsidRPr="00751E4B">
        <w:rPr>
          <w:sz w:val="24"/>
          <w:szCs w:val="24"/>
        </w:rPr>
        <w:t xml:space="preserve">ltrasound </w:t>
      </w:r>
      <w:r w:rsidRPr="00751E4B">
        <w:rPr>
          <w:sz w:val="24"/>
          <w:szCs w:val="24"/>
        </w:rPr>
        <w:t>(CEUS) has the advantages of real-time imaging, easy repeatability, and wide availability.  Further, microbubble</w:t>
      </w:r>
      <w:r w:rsidR="00240469">
        <w:rPr>
          <w:sz w:val="24"/>
          <w:szCs w:val="24"/>
        </w:rPr>
        <w:t xml:space="preserve"> contrast agents </w:t>
      </w:r>
      <w:r w:rsidRPr="00751E4B">
        <w:rPr>
          <w:sz w:val="24"/>
          <w:szCs w:val="24"/>
        </w:rPr>
        <w:t>are a pure blood pool agent</w:t>
      </w:r>
      <w:r w:rsidR="00240469">
        <w:rPr>
          <w:sz w:val="24"/>
          <w:szCs w:val="24"/>
        </w:rPr>
        <w:t xml:space="preserve"> (intravascular tracer)</w:t>
      </w:r>
      <w:r w:rsidRPr="00751E4B">
        <w:rPr>
          <w:sz w:val="24"/>
          <w:szCs w:val="24"/>
        </w:rPr>
        <w:t>, thus providing blood flow information at the capillary level.  Many potential patients for this technique have chronic disease, especially neoplastic or inflammatory, often necessitating multiple scans over a long time interval. Thus this technique would limit the radiation exposure from multiple CT scans (a topic of considerable concern particularly among pediatric patients) and possible toxicity from multiple injections of gadolinium</w:t>
      </w:r>
      <w:r w:rsidR="00240469">
        <w:rPr>
          <w:sz w:val="24"/>
          <w:szCs w:val="24"/>
        </w:rPr>
        <w:t>-</w:t>
      </w:r>
      <w:r w:rsidRPr="00751E4B">
        <w:rPr>
          <w:sz w:val="24"/>
          <w:szCs w:val="24"/>
        </w:rPr>
        <w:t>based MRI contrast agents.</w:t>
      </w:r>
    </w:p>
    <w:p w14:paraId="5D55E67B" w14:textId="77777777" w:rsidR="009A0B08" w:rsidRPr="00751E4B" w:rsidRDefault="009A0B08" w:rsidP="00683578"/>
    <w:p w14:paraId="4377F5EB" w14:textId="5D880B7F" w:rsidR="009A0B08" w:rsidRPr="00751E4B" w:rsidRDefault="009A0B08" w:rsidP="00683578">
      <w:pPr>
        <w:pStyle w:val="NoSpacing"/>
        <w:rPr>
          <w:sz w:val="24"/>
          <w:szCs w:val="24"/>
        </w:rPr>
      </w:pPr>
      <w:r w:rsidRPr="00751E4B">
        <w:rPr>
          <w:sz w:val="24"/>
          <w:szCs w:val="24"/>
        </w:rPr>
        <w:t>Quantitative CEUS has been evaluated by several groups and demonstrated to be clinically useful</w:t>
      </w:r>
      <w:r w:rsidR="001F1A10">
        <w:rPr>
          <w:sz w:val="24"/>
          <w:szCs w:val="24"/>
        </w:rPr>
        <w:t xml:space="preserve">. </w:t>
      </w:r>
      <w:r w:rsidRPr="00751E4B">
        <w:rPr>
          <w:sz w:val="24"/>
          <w:szCs w:val="24"/>
        </w:rPr>
        <w:t xml:space="preserve"> </w:t>
      </w:r>
      <w:r w:rsidR="001F1A10">
        <w:rPr>
          <w:sz w:val="24"/>
          <w:szCs w:val="24"/>
        </w:rPr>
        <w:t>H</w:t>
      </w:r>
      <w:r w:rsidRPr="00751E4B">
        <w:rPr>
          <w:sz w:val="24"/>
          <w:szCs w:val="24"/>
        </w:rPr>
        <w:t xml:space="preserve">owever, </w:t>
      </w:r>
      <w:r w:rsidR="001F1A10">
        <w:t xml:space="preserve">successful groups have standardized to a single system configuration and agent for their studies.  For the clinical benefits to be applied widely and for specific contrast kinetic measures to become biomarkers, standardization of the </w:t>
      </w:r>
      <w:r w:rsidR="005B0503">
        <w:t>exact method, equipment, and software</w:t>
      </w:r>
      <w:r w:rsidR="001F1A10">
        <w:t xml:space="preserve"> is required.</w:t>
      </w:r>
      <w:r w:rsidRPr="00751E4B">
        <w:rPr>
          <w:sz w:val="24"/>
          <w:szCs w:val="24"/>
        </w:rPr>
        <w:t xml:space="preserve">  Thus widespread use has been </w:t>
      </w:r>
      <w:r w:rsidR="005A098E">
        <w:rPr>
          <w:sz w:val="24"/>
          <w:szCs w:val="24"/>
        </w:rPr>
        <w:t>limited in quantitative measurements</w:t>
      </w:r>
      <w:r w:rsidRPr="00751E4B">
        <w:rPr>
          <w:sz w:val="24"/>
          <w:szCs w:val="24"/>
        </w:rPr>
        <w:t xml:space="preserve">.  </w:t>
      </w:r>
      <w:r w:rsidR="005A098E">
        <w:rPr>
          <w:sz w:val="24"/>
          <w:szCs w:val="24"/>
        </w:rPr>
        <w:t>The ultimate goal of this proposal is to standardize quantitative CEUS to use as a biomarker</w:t>
      </w:r>
      <w:r w:rsidR="005B0503">
        <w:rPr>
          <w:sz w:val="24"/>
          <w:szCs w:val="24"/>
        </w:rPr>
        <w:t xml:space="preserve"> of perfusion and thus</w:t>
      </w:r>
      <w:r w:rsidR="00205637">
        <w:rPr>
          <w:sz w:val="24"/>
          <w:szCs w:val="24"/>
        </w:rPr>
        <w:t xml:space="preserve"> of tumor response to therapy</w:t>
      </w:r>
      <w:r w:rsidR="005A098E">
        <w:rPr>
          <w:sz w:val="24"/>
          <w:szCs w:val="24"/>
        </w:rPr>
        <w:t xml:space="preserve"> for </w:t>
      </w:r>
      <w:r w:rsidR="00205637">
        <w:rPr>
          <w:sz w:val="24"/>
          <w:szCs w:val="24"/>
        </w:rPr>
        <w:t>colorectal and other liver metastases, hepatocellular carcinoma (HCC), and for inflammatory bowel disease</w:t>
      </w:r>
      <w:r w:rsidR="005A098E">
        <w:rPr>
          <w:sz w:val="24"/>
          <w:szCs w:val="24"/>
        </w:rPr>
        <w:t xml:space="preserve">.  The first year of this study will concentrate on </w:t>
      </w:r>
      <w:r w:rsidR="00240469">
        <w:rPr>
          <w:sz w:val="24"/>
          <w:szCs w:val="24"/>
        </w:rPr>
        <w:t xml:space="preserve">the </w:t>
      </w:r>
      <w:r w:rsidR="005A098E">
        <w:rPr>
          <w:sz w:val="24"/>
          <w:szCs w:val="24"/>
        </w:rPr>
        <w:t xml:space="preserve">basics using a </w:t>
      </w:r>
      <w:r w:rsidR="00240469">
        <w:rPr>
          <w:sz w:val="24"/>
          <w:szCs w:val="24"/>
        </w:rPr>
        <w:t>tissue-mimicking</w:t>
      </w:r>
      <w:r w:rsidR="00205637">
        <w:rPr>
          <w:sz w:val="24"/>
          <w:szCs w:val="24"/>
        </w:rPr>
        <w:t xml:space="preserve"> flow</w:t>
      </w:r>
      <w:r w:rsidR="00240469">
        <w:rPr>
          <w:sz w:val="24"/>
          <w:szCs w:val="24"/>
        </w:rPr>
        <w:t xml:space="preserve"> </w:t>
      </w:r>
      <w:r w:rsidR="005A098E">
        <w:rPr>
          <w:sz w:val="24"/>
          <w:szCs w:val="24"/>
        </w:rPr>
        <w:t xml:space="preserve">phantom to evaluate the </w:t>
      </w:r>
      <w:proofErr w:type="spellStart"/>
      <w:r w:rsidR="00205637">
        <w:rPr>
          <w:sz w:val="24"/>
          <w:szCs w:val="24"/>
        </w:rPr>
        <w:t>Lumason</w:t>
      </w:r>
      <w:proofErr w:type="spellEnd"/>
      <w:r w:rsidR="005A098E">
        <w:rPr>
          <w:sz w:val="24"/>
          <w:szCs w:val="24"/>
        </w:rPr>
        <w:t xml:space="preserve"> CEUS contrast agent and </w:t>
      </w:r>
      <w:r w:rsidR="00205637">
        <w:rPr>
          <w:sz w:val="24"/>
          <w:szCs w:val="24"/>
        </w:rPr>
        <w:t>2-3 scanners with</w:t>
      </w:r>
      <w:r w:rsidR="005A098E">
        <w:rPr>
          <w:sz w:val="24"/>
          <w:szCs w:val="24"/>
        </w:rPr>
        <w:t xml:space="preserve"> CEUS software.  Once we have understanding of the basics a </w:t>
      </w:r>
      <w:r w:rsidR="00205637">
        <w:rPr>
          <w:sz w:val="24"/>
          <w:szCs w:val="24"/>
        </w:rPr>
        <w:t xml:space="preserve">follow-up </w:t>
      </w:r>
      <w:r w:rsidR="005A098E">
        <w:rPr>
          <w:sz w:val="24"/>
          <w:szCs w:val="24"/>
        </w:rPr>
        <w:t xml:space="preserve">clinical </w:t>
      </w:r>
      <w:r w:rsidR="00205637">
        <w:rPr>
          <w:sz w:val="24"/>
          <w:szCs w:val="24"/>
        </w:rPr>
        <w:t>study in the clinical areas mentioned above will be performed</w:t>
      </w:r>
      <w:r w:rsidR="005A098E">
        <w:rPr>
          <w:sz w:val="24"/>
          <w:szCs w:val="24"/>
        </w:rPr>
        <w:t xml:space="preserve">. </w:t>
      </w:r>
      <w:r w:rsidR="004050AD">
        <w:rPr>
          <w:sz w:val="24"/>
          <w:szCs w:val="24"/>
        </w:rPr>
        <w:t xml:space="preserve">  It is anticipated that we will collaborate with the QIBA CT and MRI groups working on similar quantitative contrast measur</w:t>
      </w:r>
      <w:r w:rsidR="007F1DC6">
        <w:rPr>
          <w:sz w:val="24"/>
          <w:szCs w:val="24"/>
        </w:rPr>
        <w:t>e</w:t>
      </w:r>
      <w:r w:rsidR="004050AD">
        <w:rPr>
          <w:sz w:val="24"/>
          <w:szCs w:val="24"/>
        </w:rPr>
        <w:t>ments.</w:t>
      </w:r>
      <w:r w:rsidR="005B0503">
        <w:rPr>
          <w:sz w:val="24"/>
          <w:szCs w:val="24"/>
        </w:rPr>
        <w:t xml:space="preserve"> The execution of this project will set the basis for transforming quantitative CEUS into a clinical biomarker of perfusion and tumor response to therapy. The standardized methods and approach will then lead to clinical translation and wider use. </w:t>
      </w:r>
    </w:p>
    <w:p w14:paraId="6C220E29" w14:textId="77777777" w:rsidR="009A0B08" w:rsidRDefault="009A0B08"/>
    <w:p w14:paraId="71863A45" w14:textId="77777777" w:rsidR="009A0B08" w:rsidRPr="008843F6" w:rsidRDefault="009A0B08">
      <w:pPr>
        <w:rPr>
          <w:b/>
        </w:rPr>
      </w:pPr>
      <w:r w:rsidRPr="008843F6">
        <w:rPr>
          <w:b/>
        </w:rPr>
        <w:t>Primary objectives, deliverables and timeline:</w:t>
      </w:r>
    </w:p>
    <w:p w14:paraId="4576612D" w14:textId="77777777" w:rsidR="009A0B08" w:rsidRDefault="009A0B08"/>
    <w:p w14:paraId="697ADBC7" w14:textId="4481EEDF" w:rsidR="009A0B08" w:rsidRDefault="009A0B08">
      <w:r>
        <w:t xml:space="preserve">The primary objectives are geared to </w:t>
      </w:r>
      <w:r w:rsidR="00240469">
        <w:t xml:space="preserve">the </w:t>
      </w:r>
      <w:r>
        <w:t xml:space="preserve">standardization of </w:t>
      </w:r>
      <w:r w:rsidR="00240469">
        <w:t xml:space="preserve">quantitative </w:t>
      </w:r>
      <w:r>
        <w:t xml:space="preserve">CEUS </w:t>
      </w:r>
      <w:r w:rsidR="00D85CBB">
        <w:t>methods and approaches necessary to measure flow characteristics</w:t>
      </w:r>
      <w:r w:rsidR="005A098E">
        <w:t xml:space="preserve">.  </w:t>
      </w:r>
      <w:r w:rsidR="00D85CBB">
        <w:t xml:space="preserve">There are two main approaches for CEUS quantification of perfusion based on indicator dilution: </w:t>
      </w:r>
      <w:r w:rsidR="00683578">
        <w:t>(a) bolus injection for wash-in/washout analysis and (b) infusion for destruction replenishment analysis.</w:t>
      </w:r>
      <w:r w:rsidR="00D85CBB">
        <w:t xml:space="preserve"> We propose to use (a) due to its simplicity, wider use in the </w:t>
      </w:r>
      <w:r w:rsidR="00D85CBB">
        <w:lastRenderedPageBreak/>
        <w:t>clinic, and number of previous studies that have already been published with this technique.</w:t>
      </w:r>
      <w:r w:rsidR="00683578">
        <w:t xml:space="preserve">  The phantom studies will be used to simulate </w:t>
      </w:r>
    </w:p>
    <w:p w14:paraId="294E58BB" w14:textId="77777777" w:rsidR="00683578" w:rsidRDefault="00683578">
      <w:r>
        <w:t>1. Measuring flow in the macro- and micro-circulation</w:t>
      </w:r>
    </w:p>
    <w:p w14:paraId="3DAEC5F1" w14:textId="77777777" w:rsidR="00683578" w:rsidRDefault="00683578">
      <w:r>
        <w:t>2. Blood volume (vascular density) in a ROI in a tumor</w:t>
      </w:r>
    </w:p>
    <w:p w14:paraId="74EC7761" w14:textId="77777777" w:rsidR="00683578" w:rsidRDefault="00683578"/>
    <w:p w14:paraId="2EACB35C" w14:textId="77777777" w:rsidR="00683578" w:rsidRDefault="00683578">
      <w:r>
        <w:t>Bolus injection for wash-in/</w:t>
      </w:r>
      <w:r>
        <w:tab/>
      </w:r>
      <w:r>
        <w:tab/>
      </w:r>
      <w:r>
        <w:tab/>
        <w:t>Infusion for destruction-</w:t>
      </w:r>
    </w:p>
    <w:p w14:paraId="32699249" w14:textId="77777777" w:rsidR="00683578" w:rsidRDefault="00683578">
      <w:r>
        <w:t>Washout analysis</w:t>
      </w:r>
      <w:r>
        <w:tab/>
      </w:r>
      <w:r>
        <w:tab/>
      </w:r>
      <w:r>
        <w:tab/>
      </w:r>
      <w:r>
        <w:tab/>
        <w:t>replenishment analysis</w:t>
      </w:r>
    </w:p>
    <w:p w14:paraId="171DC766" w14:textId="77777777" w:rsidR="00683578" w:rsidRDefault="00683578">
      <w:r>
        <w:rPr>
          <w:noProof/>
        </w:rPr>
        <w:drawing>
          <wp:inline distT="0" distB="0" distL="0" distR="0" wp14:anchorId="61EFDD12" wp14:editId="4A00E915">
            <wp:extent cx="2195431"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803" cy="1486152"/>
                    </a:xfrm>
                    <a:prstGeom prst="rect">
                      <a:avLst/>
                    </a:prstGeom>
                    <a:noFill/>
                    <a:ln>
                      <a:noFill/>
                    </a:ln>
                  </pic:spPr>
                </pic:pic>
              </a:graphicData>
            </a:graphic>
          </wp:inline>
        </w:drawing>
      </w:r>
      <w:r w:rsidRPr="00683578">
        <w:t xml:space="preserve"> </w:t>
      </w:r>
      <w:r>
        <w:rPr>
          <w:noProof/>
        </w:rPr>
        <w:drawing>
          <wp:inline distT="0" distB="0" distL="0" distR="0" wp14:anchorId="1FFAB9E6" wp14:editId="70BA7C47">
            <wp:extent cx="2120900" cy="1448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291" cy="1449051"/>
                    </a:xfrm>
                    <a:prstGeom prst="rect">
                      <a:avLst/>
                    </a:prstGeom>
                    <a:noFill/>
                    <a:ln>
                      <a:noFill/>
                    </a:ln>
                  </pic:spPr>
                </pic:pic>
              </a:graphicData>
            </a:graphic>
          </wp:inline>
        </w:drawing>
      </w:r>
    </w:p>
    <w:p w14:paraId="6C775577" w14:textId="77777777" w:rsidR="00751E4B" w:rsidRDefault="00751E4B"/>
    <w:p w14:paraId="3916A606" w14:textId="034DFDDD" w:rsidR="00683578" w:rsidRDefault="00683578">
      <w:r>
        <w:t>Clinical problems that need to be overcome</w:t>
      </w:r>
      <w:r w:rsidR="00CC3506">
        <w:t xml:space="preserve"> (but are not present in the simple flow phantom)</w:t>
      </w:r>
      <w:r>
        <w:t xml:space="preserve"> include </w:t>
      </w:r>
      <w:r w:rsidR="00CC3506">
        <w:t xml:space="preserve">unknown </w:t>
      </w:r>
      <w:r w:rsidR="008843F6">
        <w:t xml:space="preserve">arterial input function, </w:t>
      </w:r>
      <w:proofErr w:type="spellStart"/>
      <w:r w:rsidR="008843F6">
        <w:t>microflow</w:t>
      </w:r>
      <w:proofErr w:type="spellEnd"/>
      <w:r w:rsidR="008843F6">
        <w:t xml:space="preserve"> regulation in the body, HA and PV contributions change with treatment, patient immune response and drug resistance</w:t>
      </w:r>
      <w:r w:rsidR="007F1DC6">
        <w:t>.</w:t>
      </w:r>
      <w:r w:rsidR="008843F6">
        <w:t xml:space="preserve"> </w:t>
      </w:r>
      <w:r w:rsidR="007F1DC6">
        <w:t>I</w:t>
      </w:r>
      <w:r w:rsidR="008843F6">
        <w:t>nstrument/technology software issues</w:t>
      </w:r>
      <w:r w:rsidR="007F1DC6">
        <w:t xml:space="preserve"> also exist</w:t>
      </w:r>
      <w:r w:rsidR="00CC3506">
        <w:t xml:space="preserve"> (that are also present in the simple flow phantom)</w:t>
      </w:r>
      <w:r w:rsidR="007F1DC6">
        <w:t xml:space="preserve"> such as</w:t>
      </w:r>
      <w:r w:rsidR="008843F6">
        <w:t xml:space="preserve"> image system microbubble sensitivity, agent handling,</w:t>
      </w:r>
      <w:r w:rsidR="00CC3506">
        <w:t xml:space="preserve"> image data</w:t>
      </w:r>
      <w:r w:rsidR="008843F6">
        <w:t xml:space="preserve"> linearization, signal saturation, acoustic shadowing</w:t>
      </w:r>
      <w:r w:rsidR="00CC3506">
        <w:t xml:space="preserve"> due to microbubbles</w:t>
      </w:r>
      <w:r w:rsidR="008843F6">
        <w:t xml:space="preserve">, curve fitting, </w:t>
      </w:r>
      <w:r w:rsidR="00CC3506">
        <w:t xml:space="preserve">and </w:t>
      </w:r>
      <w:r w:rsidR="008843F6">
        <w:t>flow parameters extraction.</w:t>
      </w:r>
      <w:r w:rsidR="00CC3506">
        <w:t xml:space="preserve"> </w:t>
      </w:r>
    </w:p>
    <w:p w14:paraId="34EC0E52" w14:textId="77777777" w:rsidR="008843F6" w:rsidRDefault="008843F6"/>
    <w:p w14:paraId="5EEE26F8" w14:textId="5F49849C" w:rsidR="008843F6" w:rsidRDefault="008843F6">
      <w:r>
        <w:t>Phase 1 of this study is to determine the temperature dependence of the stability and characteristics of ultrasound contrast agents</w:t>
      </w:r>
      <w:r w:rsidR="00CC3506">
        <w:t xml:space="preserve"> (including the issues discussed in the previous paragraph)</w:t>
      </w:r>
      <w:r>
        <w:t>.</w:t>
      </w:r>
      <w:r w:rsidR="005A098E">
        <w:t xml:space="preserve">  Experiments will be conducted from room temperature to body temperature to assess changes in stability and acoustic properties to determine if phantom measurements need to be made at body temperature for appropriate translation to clinical practice.</w:t>
      </w:r>
    </w:p>
    <w:p w14:paraId="7159E75C" w14:textId="77777777" w:rsidR="008843F6" w:rsidRDefault="008843F6"/>
    <w:p w14:paraId="210DAA83" w14:textId="77777777" w:rsidR="008843F6" w:rsidRDefault="008843F6">
      <w:r>
        <w:t xml:space="preserve">Phase 2 will measure and establish </w:t>
      </w:r>
    </w:p>
    <w:p w14:paraId="24532142" w14:textId="6210C074" w:rsidR="008843F6" w:rsidRDefault="008843F6">
      <w:r>
        <w:t xml:space="preserve">(a) </w:t>
      </w:r>
      <w:proofErr w:type="gramStart"/>
      <w:r>
        <w:t>bubble</w:t>
      </w:r>
      <w:proofErr w:type="gramEnd"/>
      <w:r>
        <w:t xml:space="preserve"> </w:t>
      </w:r>
      <w:r w:rsidR="008558F1">
        <w:t>detection</w:t>
      </w:r>
      <w:r w:rsidR="00CC3506">
        <w:t xml:space="preserve"> (contrast to tissue ratio)</w:t>
      </w:r>
      <w:r w:rsidR="008558F1">
        <w:t xml:space="preserve"> </w:t>
      </w:r>
      <w:r>
        <w:t>and tissue</w:t>
      </w:r>
      <w:r w:rsidR="00CC3506">
        <w:t xml:space="preserve"> (linear signal)</w:t>
      </w:r>
      <w:r>
        <w:t xml:space="preserve"> suppression</w:t>
      </w:r>
      <w:r w:rsidR="00CC3506">
        <w:t xml:space="preserve"> in dB</w:t>
      </w:r>
      <w:r>
        <w:t xml:space="preserve"> for imaging</w:t>
      </w:r>
    </w:p>
    <w:p w14:paraId="242FA743" w14:textId="39820CA3" w:rsidR="008843F6" w:rsidRDefault="008843F6">
      <w:r>
        <w:t>(b) Linearization scheme of image data</w:t>
      </w:r>
      <w:r w:rsidR="00CF1243">
        <w:t xml:space="preserve"> (removing the logarithmic compression of the imaging system).</w:t>
      </w:r>
    </w:p>
    <w:p w14:paraId="5330775A" w14:textId="3F8E074F" w:rsidR="008843F6" w:rsidRDefault="008843F6">
      <w:r>
        <w:t xml:space="preserve">(c) </w:t>
      </w:r>
      <w:r w:rsidR="00CF1243">
        <w:t>Quantify</w:t>
      </w:r>
      <w:r>
        <w:t xml:space="preserve"> flow</w:t>
      </w:r>
      <w:r w:rsidR="00CF1243">
        <w:t xml:space="preserve"> characteristics</w:t>
      </w:r>
      <w:r>
        <w:t xml:space="preserve"> in a single tube.  </w:t>
      </w:r>
      <w:r w:rsidR="00CF1243">
        <w:t>This includes</w:t>
      </w:r>
      <w:r>
        <w:t xml:space="preserve"> the range of velocities that can be measured with CEUS </w:t>
      </w:r>
      <w:r w:rsidR="00CF1243">
        <w:t xml:space="preserve">depending on the tube </w:t>
      </w:r>
      <w:proofErr w:type="gramStart"/>
      <w:r>
        <w:t xml:space="preserve">diameter </w:t>
      </w:r>
      <w:r w:rsidR="00CF1243">
        <w:t>.</w:t>
      </w:r>
      <w:proofErr w:type="gramEnd"/>
      <w:r>
        <w:t xml:space="preserve"> </w:t>
      </w:r>
    </w:p>
    <w:p w14:paraId="055F9283" w14:textId="622F12ED" w:rsidR="008843F6" w:rsidRDefault="007F1DC6">
      <w:r>
        <w:t>We will u</w:t>
      </w:r>
      <w:r w:rsidR="008843F6">
        <w:t>se 3 ways to measure flow</w:t>
      </w:r>
      <w:r w:rsidR="00CF1243">
        <w:t xml:space="preserve"> rates</w:t>
      </w:r>
      <w:r w:rsidR="008843F6">
        <w:t xml:space="preserve"> and compare</w:t>
      </w:r>
      <w:r w:rsidR="00CF1243">
        <w:t xml:space="preserve"> the</w:t>
      </w:r>
      <w:r w:rsidR="008843F6">
        <w:t xml:space="preserve"> results: (1) volumetric</w:t>
      </w:r>
      <w:r>
        <w:t>, by simply measuring flow over time;</w:t>
      </w:r>
      <w:r w:rsidR="008843F6">
        <w:t xml:space="preserve"> (2) with Doppler </w:t>
      </w:r>
      <w:r>
        <w:t xml:space="preserve">by measuring velocity and calculating the flow based on the tube diameter; and </w:t>
      </w:r>
      <w:r w:rsidR="008843F6">
        <w:t>(3) with CEUS</w:t>
      </w:r>
      <w:r>
        <w:t xml:space="preserve"> by creating time-intensity curves and extracting bolus washi-in/washout parameters (peak intensity-PI, area under the curve-AUC, mean transit time-MTT, and rise time-RT</w:t>
      </w:r>
      <w:r w:rsidR="00CF1243">
        <w:t>)</w:t>
      </w:r>
      <w:r w:rsidR="008843F6">
        <w:t>.</w:t>
      </w:r>
    </w:p>
    <w:p w14:paraId="3E8464C3" w14:textId="77777777" w:rsidR="008843F6" w:rsidRDefault="008843F6"/>
    <w:p w14:paraId="781A5704" w14:textId="46BB3ED6" w:rsidR="008843F6" w:rsidRDefault="008843F6">
      <w:r>
        <w:lastRenderedPageBreak/>
        <w:t>The following single tube flow phantom consisting of a peristaltic pump, bubble trap, mixing chamber, and silicon tubing.</w:t>
      </w:r>
    </w:p>
    <w:p w14:paraId="25892DEA" w14:textId="77777777" w:rsidR="008843F6" w:rsidRDefault="008843F6"/>
    <w:p w14:paraId="1AB32E6C" w14:textId="77777777" w:rsidR="008843F6" w:rsidRDefault="008843F6">
      <w:r>
        <w:rPr>
          <w:noProof/>
        </w:rPr>
        <w:drawing>
          <wp:inline distT="0" distB="0" distL="0" distR="0" wp14:anchorId="3D3E93D3" wp14:editId="24B9CC03">
            <wp:extent cx="4457700" cy="1049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252" cy="1049161"/>
                    </a:xfrm>
                    <a:prstGeom prst="rect">
                      <a:avLst/>
                    </a:prstGeom>
                    <a:noFill/>
                    <a:ln>
                      <a:noFill/>
                    </a:ln>
                  </pic:spPr>
                </pic:pic>
              </a:graphicData>
            </a:graphic>
          </wp:inline>
        </w:drawing>
      </w:r>
    </w:p>
    <w:p w14:paraId="6708927D" w14:textId="77777777" w:rsidR="008843F6" w:rsidRDefault="008843F6">
      <w:r>
        <w:rPr>
          <w:noProof/>
        </w:rPr>
        <w:drawing>
          <wp:inline distT="0" distB="0" distL="0" distR="0" wp14:anchorId="06D45813" wp14:editId="1B43813C">
            <wp:extent cx="4457700" cy="1049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252" cy="1049161"/>
                    </a:xfrm>
                    <a:prstGeom prst="rect">
                      <a:avLst/>
                    </a:prstGeom>
                    <a:noFill/>
                    <a:ln>
                      <a:noFill/>
                    </a:ln>
                  </pic:spPr>
                </pic:pic>
              </a:graphicData>
            </a:graphic>
          </wp:inline>
        </w:drawing>
      </w:r>
    </w:p>
    <w:p w14:paraId="4EE8BA86" w14:textId="42BEFF85" w:rsidR="00CD1CAC" w:rsidRDefault="007F1DC6">
      <w:r>
        <w:t>Four different</w:t>
      </w:r>
      <w:r w:rsidR="008843F6">
        <w:t xml:space="preserve"> tube diameter</w:t>
      </w:r>
      <w:r>
        <w:t>s</w:t>
      </w:r>
      <w:r w:rsidR="008843F6">
        <w:t xml:space="preserve"> </w:t>
      </w:r>
      <w:r>
        <w:t xml:space="preserve">will be utilized </w:t>
      </w:r>
      <w:r w:rsidR="008843F6">
        <w:t>(1,</w:t>
      </w:r>
      <w:r w:rsidR="00CF1243">
        <w:t xml:space="preserve"> </w:t>
      </w:r>
      <w:r w:rsidR="008843F6">
        <w:t>2,</w:t>
      </w:r>
      <w:r w:rsidR="00CF1243">
        <w:t xml:space="preserve"> </w:t>
      </w:r>
      <w:r w:rsidR="008843F6">
        <w:t>4,</w:t>
      </w:r>
      <w:r w:rsidR="00CF1243">
        <w:t xml:space="preserve"> </w:t>
      </w:r>
      <w:r w:rsidR="008843F6">
        <w:t>8mm).  The mixing chamber dilute</w:t>
      </w:r>
      <w:r w:rsidR="00CF1243">
        <w:t>s</w:t>
      </w:r>
      <w:r w:rsidR="008843F6">
        <w:t xml:space="preserve"> the bolus and mimics the heart</w:t>
      </w:r>
      <w:r w:rsidR="00CF1243">
        <w:t>/lungs</w:t>
      </w:r>
      <w:r w:rsidR="008843F6">
        <w:t xml:space="preserve"> mixing.</w:t>
      </w:r>
      <w:r w:rsidR="00CD1CAC">
        <w:t xml:space="preserve">  There is a long section of tubing</w:t>
      </w:r>
      <w:r w:rsidR="00895FF7">
        <w:t xml:space="preserve"> (not shown in the schematic)</w:t>
      </w:r>
      <w:r w:rsidR="00CD1CAC">
        <w:t xml:space="preserve"> after the mixing chamber to further spread the bolus</w:t>
      </w:r>
      <w:r w:rsidR="00CF1243">
        <w:t xml:space="preserve"> and give it shape characteristics similar to those of time-intensity curves taken from clinical data</w:t>
      </w:r>
      <w:r w:rsidR="00CD1CAC">
        <w:t xml:space="preserve">.  </w:t>
      </w:r>
    </w:p>
    <w:p w14:paraId="51487CD9" w14:textId="77777777" w:rsidR="00152A63" w:rsidRDefault="00152A63"/>
    <w:p w14:paraId="64EA6653" w14:textId="2FE2410C" w:rsidR="00CD1CAC" w:rsidRDefault="00CD1CAC">
      <w:r>
        <w:t>The objectives</w:t>
      </w:r>
      <w:r w:rsidR="004050AD">
        <w:t xml:space="preserve"> and deliverables</w:t>
      </w:r>
      <w:r>
        <w:t xml:space="preserve"> using this phantom are:</w:t>
      </w:r>
    </w:p>
    <w:p w14:paraId="0F6461A9" w14:textId="77777777" w:rsidR="00CD1CAC" w:rsidRDefault="00CD1CAC"/>
    <w:tbl>
      <w:tblPr>
        <w:tblStyle w:val="TableGrid"/>
        <w:tblW w:w="9108" w:type="dxa"/>
        <w:tblLook w:val="04A0" w:firstRow="1" w:lastRow="0" w:firstColumn="1" w:lastColumn="0" w:noHBand="0" w:noVBand="1"/>
      </w:tblPr>
      <w:tblGrid>
        <w:gridCol w:w="3348"/>
        <w:gridCol w:w="2880"/>
        <w:gridCol w:w="2880"/>
      </w:tblGrid>
      <w:tr w:rsidR="00751E4B" w14:paraId="3673DDAB" w14:textId="77777777" w:rsidTr="00751E4B">
        <w:tc>
          <w:tcPr>
            <w:tcW w:w="3348" w:type="dxa"/>
          </w:tcPr>
          <w:p w14:paraId="19034C44" w14:textId="77777777" w:rsidR="00CD1CAC" w:rsidRDefault="00CD1CAC">
            <w:r>
              <w:t>Objective</w:t>
            </w:r>
          </w:p>
        </w:tc>
        <w:tc>
          <w:tcPr>
            <w:tcW w:w="2880" w:type="dxa"/>
          </w:tcPr>
          <w:p w14:paraId="2E918533" w14:textId="77777777" w:rsidR="00CD1CAC" w:rsidRDefault="00CD1CAC">
            <w:r>
              <w:t>Motivation</w:t>
            </w:r>
          </w:p>
        </w:tc>
        <w:tc>
          <w:tcPr>
            <w:tcW w:w="2880" w:type="dxa"/>
          </w:tcPr>
          <w:p w14:paraId="1FAFCDB8" w14:textId="77777777" w:rsidR="00CD1CAC" w:rsidRDefault="00CD1CAC">
            <w:r>
              <w:t>Deliverable</w:t>
            </w:r>
          </w:p>
        </w:tc>
      </w:tr>
      <w:tr w:rsidR="00751E4B" w14:paraId="2C882507" w14:textId="77777777" w:rsidTr="00751E4B">
        <w:tc>
          <w:tcPr>
            <w:tcW w:w="3348" w:type="dxa"/>
          </w:tcPr>
          <w:p w14:paraId="160BAA16" w14:textId="7D197BF9" w:rsidR="00CD1CAC" w:rsidRDefault="00CD1CAC" w:rsidP="00CD1CAC">
            <w:r>
              <w:t xml:space="preserve">1. Establish settings for </w:t>
            </w:r>
            <w:r w:rsidR="00CF1243">
              <w:t xml:space="preserve">the </w:t>
            </w:r>
            <w:r>
              <w:t xml:space="preserve">scanners participating in the QIBA initiative for good microbubble imaging for quantification.  This includes the following: minimize </w:t>
            </w:r>
            <w:r w:rsidR="004E5725">
              <w:t xml:space="preserve">contrast agent </w:t>
            </w:r>
            <w:r>
              <w:t xml:space="preserve">destruction, maximize tissue cancellation, avoid signal saturation, </w:t>
            </w:r>
            <w:proofErr w:type="gramStart"/>
            <w:r>
              <w:t>avoid</w:t>
            </w:r>
            <w:proofErr w:type="gramEnd"/>
            <w:r>
              <w:t xml:space="preserve"> acoustic shadowing.  </w:t>
            </w:r>
          </w:p>
          <w:p w14:paraId="5888D3F9" w14:textId="77777777" w:rsidR="00CD1CAC" w:rsidRDefault="00CD1CAC"/>
        </w:tc>
        <w:tc>
          <w:tcPr>
            <w:tcW w:w="2880" w:type="dxa"/>
          </w:tcPr>
          <w:p w14:paraId="1438EA53" w14:textId="77777777" w:rsidR="00CD1CAC" w:rsidRDefault="00152A63">
            <w:r>
              <w:t>Standardization of ultrasound equipment so clinical measurement made on various machines will provide similar results</w:t>
            </w:r>
          </w:p>
        </w:tc>
        <w:tc>
          <w:tcPr>
            <w:tcW w:w="2880" w:type="dxa"/>
          </w:tcPr>
          <w:p w14:paraId="66823716" w14:textId="55B600B5" w:rsidR="00CD1CAC" w:rsidRDefault="00152A63">
            <w:r>
              <w:t>Provide a profile for optimal clinical CEUS use</w:t>
            </w:r>
            <w:r w:rsidR="00100A64">
              <w:t>. This include</w:t>
            </w:r>
            <w:r w:rsidR="00F7691D">
              <w:t>s</w:t>
            </w:r>
            <w:r w:rsidR="00100A64">
              <w:t xml:space="preserve"> optim</w:t>
            </w:r>
            <w:r w:rsidR="00F7691D">
              <w:t>al</w:t>
            </w:r>
            <w:r w:rsidR="00100A64">
              <w:t xml:space="preserve"> setting</w:t>
            </w:r>
            <w:r w:rsidR="00F7691D">
              <w:t>s</w:t>
            </w:r>
            <w:r w:rsidR="00100A64">
              <w:t xml:space="preserve"> per scanner</w:t>
            </w:r>
            <w:r w:rsidR="00CF1243">
              <w:t>: nonlinear mode, highest nondestructive MI, analog/digital gain, dynamic range (compression)</w:t>
            </w:r>
          </w:p>
        </w:tc>
      </w:tr>
      <w:tr w:rsidR="00751E4B" w14:paraId="39E9D2D9" w14:textId="77777777" w:rsidTr="00751E4B">
        <w:tc>
          <w:tcPr>
            <w:tcW w:w="3348" w:type="dxa"/>
          </w:tcPr>
          <w:p w14:paraId="7E0155CE" w14:textId="666C24B3" w:rsidR="00CD1CAC" w:rsidRDefault="00CD1CAC" w:rsidP="00CD1CAC">
            <w:r>
              <w:t>2. Establish</w:t>
            </w:r>
            <w:r w:rsidR="00100A64">
              <w:t xml:space="preserve"> and validate</w:t>
            </w:r>
            <w:r>
              <w:t xml:space="preserve"> linearization scheme (native data vs empiric)</w:t>
            </w:r>
          </w:p>
          <w:p w14:paraId="1445BEFE" w14:textId="77777777" w:rsidR="00CD1CAC" w:rsidRDefault="00CD1CAC"/>
        </w:tc>
        <w:tc>
          <w:tcPr>
            <w:tcW w:w="2880" w:type="dxa"/>
          </w:tcPr>
          <w:p w14:paraId="52BCD330" w14:textId="77777777" w:rsidR="00CD1CAC" w:rsidRDefault="00152A63">
            <w:r>
              <w:t>Select one of several schemes presently being evaluated for standardization</w:t>
            </w:r>
          </w:p>
        </w:tc>
        <w:tc>
          <w:tcPr>
            <w:tcW w:w="2880" w:type="dxa"/>
          </w:tcPr>
          <w:p w14:paraId="30FECC21" w14:textId="0C9717C0" w:rsidR="004E5725" w:rsidRDefault="00751E4B">
            <w:r>
              <w:t>Provide recommended linearization scheme</w:t>
            </w:r>
          </w:p>
          <w:p w14:paraId="1B76C76A" w14:textId="77777777" w:rsidR="00CD1CAC" w:rsidRPr="004E5725" w:rsidRDefault="00CD1CAC" w:rsidP="004E5725"/>
        </w:tc>
      </w:tr>
      <w:tr w:rsidR="00751E4B" w14:paraId="09254F76" w14:textId="77777777" w:rsidTr="00751E4B">
        <w:tc>
          <w:tcPr>
            <w:tcW w:w="3348" w:type="dxa"/>
          </w:tcPr>
          <w:p w14:paraId="5A4AA5E6" w14:textId="77777777" w:rsidR="00CD1CAC" w:rsidRDefault="00CD1CAC">
            <w:r>
              <w:t>3. Select appropriate quantification software</w:t>
            </w:r>
          </w:p>
        </w:tc>
        <w:tc>
          <w:tcPr>
            <w:tcW w:w="2880" w:type="dxa"/>
          </w:tcPr>
          <w:p w14:paraId="7CCB44F0" w14:textId="5DC8E3EE" w:rsidR="00CD1CAC" w:rsidRDefault="00152A63">
            <w:r>
              <w:t>Select one</w:t>
            </w:r>
            <w:r w:rsidR="00100A64">
              <w:t xml:space="preserve"> (or more)</w:t>
            </w:r>
            <w:r>
              <w:t xml:space="preserve"> of several programs presently available (or develop our own) for standardization</w:t>
            </w:r>
          </w:p>
        </w:tc>
        <w:tc>
          <w:tcPr>
            <w:tcW w:w="2880" w:type="dxa"/>
          </w:tcPr>
          <w:p w14:paraId="1D20A9F8" w14:textId="7EDD19CB" w:rsidR="00CD1CAC" w:rsidRDefault="00751E4B">
            <w:r>
              <w:t>Provide</w:t>
            </w:r>
            <w:r w:rsidR="00100A64">
              <w:t xml:space="preserve"> list with</w:t>
            </w:r>
            <w:r>
              <w:t xml:space="preserve"> recommended Quantification software</w:t>
            </w:r>
          </w:p>
        </w:tc>
      </w:tr>
      <w:tr w:rsidR="00751E4B" w14:paraId="54DBF93B" w14:textId="77777777" w:rsidTr="00751E4B">
        <w:tc>
          <w:tcPr>
            <w:tcW w:w="3348" w:type="dxa"/>
          </w:tcPr>
          <w:p w14:paraId="77661677" w14:textId="42460655" w:rsidR="00CD1CAC" w:rsidRDefault="00CD1CAC" w:rsidP="00CF1243">
            <w:r>
              <w:t>4. Select appropriate indicator dilution model (</w:t>
            </w:r>
            <w:r w:rsidR="00CF1243">
              <w:t xml:space="preserve">e.g., </w:t>
            </w:r>
            <w:r>
              <w:lastRenderedPageBreak/>
              <w:t>lognormal</w:t>
            </w:r>
            <w:r w:rsidR="00CF1243">
              <w:t xml:space="preserve">, </w:t>
            </w:r>
            <w:r>
              <w:t>LDRW)</w:t>
            </w:r>
          </w:p>
        </w:tc>
        <w:tc>
          <w:tcPr>
            <w:tcW w:w="2880" w:type="dxa"/>
          </w:tcPr>
          <w:p w14:paraId="2278C0B4" w14:textId="77777777" w:rsidR="00CD1CAC" w:rsidRDefault="00152A63">
            <w:r>
              <w:lastRenderedPageBreak/>
              <w:t>For standardization</w:t>
            </w:r>
          </w:p>
        </w:tc>
        <w:tc>
          <w:tcPr>
            <w:tcW w:w="2880" w:type="dxa"/>
          </w:tcPr>
          <w:p w14:paraId="0D857B68" w14:textId="77777777" w:rsidR="00CD1CAC" w:rsidRDefault="00751E4B">
            <w:r>
              <w:t>Provide recommended indicator dilution model</w:t>
            </w:r>
          </w:p>
        </w:tc>
      </w:tr>
      <w:tr w:rsidR="00751E4B" w14:paraId="18377A75" w14:textId="77777777" w:rsidTr="00751E4B">
        <w:tc>
          <w:tcPr>
            <w:tcW w:w="3348" w:type="dxa"/>
          </w:tcPr>
          <w:p w14:paraId="15F52BF8" w14:textId="3FD14BB8" w:rsidR="00CD1CAC" w:rsidRDefault="00CD1CAC">
            <w:r>
              <w:lastRenderedPageBreak/>
              <w:t>5. Measure</w:t>
            </w:r>
            <w:r w:rsidR="00CF1243">
              <w:t xml:space="preserve"> relative</w:t>
            </w:r>
            <w:r>
              <w:t xml:space="preserve"> flow</w:t>
            </w:r>
            <w:r w:rsidR="00CF1243">
              <w:t xml:space="preserve"> rate</w:t>
            </w:r>
            <w:r>
              <w:t xml:space="preserve"> in 8,</w:t>
            </w:r>
            <w:r w:rsidR="00CF1243">
              <w:t xml:space="preserve"> </w:t>
            </w:r>
            <w:r>
              <w:t>4,</w:t>
            </w:r>
            <w:r w:rsidR="00CF1243">
              <w:t xml:space="preserve"> </w:t>
            </w:r>
            <w:r>
              <w:t>2,</w:t>
            </w:r>
            <w:r w:rsidR="00CF1243">
              <w:t xml:space="preserve"> </w:t>
            </w:r>
            <w:r>
              <w:t>1 mm tubing for flow rates 10-1000ml/min</w:t>
            </w:r>
            <w:r w:rsidR="00CF1243">
              <w:t xml:space="preserve"> (lower flow rates in the smaller tubes and higher in the larger)</w:t>
            </w:r>
          </w:p>
        </w:tc>
        <w:tc>
          <w:tcPr>
            <w:tcW w:w="2880" w:type="dxa"/>
          </w:tcPr>
          <w:p w14:paraId="79A49345" w14:textId="77777777" w:rsidR="00CD1CAC" w:rsidRDefault="00152A63">
            <w:r>
              <w:t>To determine the range of measurements that can be made accurately with CEUS – which clinical situations can CEUS be appropriate for</w:t>
            </w:r>
          </w:p>
        </w:tc>
        <w:tc>
          <w:tcPr>
            <w:tcW w:w="2880" w:type="dxa"/>
          </w:tcPr>
          <w:p w14:paraId="39B2B787" w14:textId="03337603" w:rsidR="00CD1CAC" w:rsidRDefault="00751E4B">
            <w:r>
              <w:t>Provide</w:t>
            </w:r>
            <w:r w:rsidR="00100A64">
              <w:t xml:space="preserve"> a validated</w:t>
            </w:r>
            <w:r>
              <w:t xml:space="preserve"> range of flow rates and vessel sizes that CEUS can make accurate measurements</w:t>
            </w:r>
          </w:p>
        </w:tc>
      </w:tr>
      <w:tr w:rsidR="00751E4B" w14:paraId="762418D2" w14:textId="77777777" w:rsidTr="00751E4B">
        <w:tc>
          <w:tcPr>
            <w:tcW w:w="3348" w:type="dxa"/>
          </w:tcPr>
          <w:p w14:paraId="236187C3" w14:textId="77777777" w:rsidR="00CD1CAC" w:rsidRDefault="00CD1CAC">
            <w:r>
              <w:t>6. Compare CEUS results with volumetric flow measurements (and Doppler) for validation</w:t>
            </w:r>
          </w:p>
        </w:tc>
        <w:tc>
          <w:tcPr>
            <w:tcW w:w="2880" w:type="dxa"/>
          </w:tcPr>
          <w:p w14:paraId="6FA21296" w14:textId="77777777" w:rsidR="00CD1CAC" w:rsidRDefault="00152A63">
            <w:r>
              <w:t>Determine the accuracy of CEUS for flow measurements</w:t>
            </w:r>
          </w:p>
        </w:tc>
        <w:tc>
          <w:tcPr>
            <w:tcW w:w="2880" w:type="dxa"/>
          </w:tcPr>
          <w:p w14:paraId="37B00106" w14:textId="77777777" w:rsidR="00CD1CAC" w:rsidRDefault="00751E4B">
            <w:r>
              <w:t>Provide accuracy of CEUS flow rates compared to other standards</w:t>
            </w:r>
          </w:p>
        </w:tc>
      </w:tr>
    </w:tbl>
    <w:p w14:paraId="61D921BB" w14:textId="77777777" w:rsidR="00CD1CAC" w:rsidRDefault="00CD1CAC" w:rsidP="00751E4B"/>
    <w:p w14:paraId="15E6302B" w14:textId="77777777" w:rsidR="004050AD" w:rsidRDefault="004050AD" w:rsidP="00751E4B"/>
    <w:p w14:paraId="3AD2AE0C" w14:textId="3F6BE6B0" w:rsidR="004050AD" w:rsidRDefault="004050AD" w:rsidP="00751E4B">
      <w:pPr>
        <w:rPr>
          <w:b/>
        </w:rPr>
      </w:pPr>
      <w:r w:rsidRPr="004050AD">
        <w:rPr>
          <w:b/>
        </w:rPr>
        <w:t>Timeline</w:t>
      </w:r>
    </w:p>
    <w:p w14:paraId="426F4E9D" w14:textId="77777777" w:rsidR="00B172F1" w:rsidRDefault="00B172F1" w:rsidP="00751E4B"/>
    <w:p w14:paraId="594527CD" w14:textId="77777777" w:rsidR="00D47C59" w:rsidRDefault="00D47C59" w:rsidP="00751E4B"/>
    <w:tbl>
      <w:tblPr>
        <w:tblStyle w:val="TableGrid"/>
        <w:tblW w:w="0" w:type="auto"/>
        <w:tblLook w:val="04A0" w:firstRow="1" w:lastRow="0" w:firstColumn="1" w:lastColumn="0" w:noHBand="0" w:noVBand="1"/>
      </w:tblPr>
      <w:tblGrid>
        <w:gridCol w:w="1548"/>
        <w:gridCol w:w="7308"/>
      </w:tblGrid>
      <w:tr w:rsidR="00315A71" w14:paraId="48C14C9E" w14:textId="77777777" w:rsidTr="00D47C59">
        <w:tc>
          <w:tcPr>
            <w:tcW w:w="1548" w:type="dxa"/>
          </w:tcPr>
          <w:p w14:paraId="20D8D43F" w14:textId="3AA52483" w:rsidR="00315A71" w:rsidRPr="00315A71" w:rsidRDefault="00315A71" w:rsidP="00751E4B">
            <w:pPr>
              <w:rPr>
                <w:b/>
              </w:rPr>
            </w:pPr>
            <w:r w:rsidRPr="00315A71">
              <w:rPr>
                <w:b/>
              </w:rPr>
              <w:t>Duration</w:t>
            </w:r>
          </w:p>
        </w:tc>
        <w:tc>
          <w:tcPr>
            <w:tcW w:w="7308" w:type="dxa"/>
          </w:tcPr>
          <w:p w14:paraId="39533912" w14:textId="6C768AA2" w:rsidR="00315A71" w:rsidRPr="00315A71" w:rsidRDefault="00315A71" w:rsidP="00751E4B">
            <w:pPr>
              <w:rPr>
                <w:b/>
              </w:rPr>
            </w:pPr>
            <w:r w:rsidRPr="00315A71">
              <w:rPr>
                <w:b/>
              </w:rPr>
              <w:t>Activity</w:t>
            </w:r>
          </w:p>
        </w:tc>
      </w:tr>
      <w:tr w:rsidR="00D47C59" w14:paraId="7F9E3E8D" w14:textId="77777777" w:rsidTr="00D47C59">
        <w:tc>
          <w:tcPr>
            <w:tcW w:w="1548" w:type="dxa"/>
          </w:tcPr>
          <w:p w14:paraId="5568FACB" w14:textId="504D7BC2" w:rsidR="00D47C59" w:rsidRDefault="00D47C59" w:rsidP="00751E4B">
            <w:r>
              <w:t>Month 1-2</w:t>
            </w:r>
          </w:p>
        </w:tc>
        <w:tc>
          <w:tcPr>
            <w:tcW w:w="7308" w:type="dxa"/>
          </w:tcPr>
          <w:p w14:paraId="376A2F1D" w14:textId="4BB66340" w:rsidR="00D47C59" w:rsidRDefault="00D47C59" w:rsidP="00751E4B">
            <w:r>
              <w:t>Build and test flow phantom</w:t>
            </w:r>
            <w:r w:rsidR="00B833CE">
              <w:t xml:space="preserve"> at different sites</w:t>
            </w:r>
          </w:p>
        </w:tc>
      </w:tr>
      <w:tr w:rsidR="00D47C59" w14:paraId="7C79F3F7" w14:textId="77777777" w:rsidTr="00D47C59">
        <w:tc>
          <w:tcPr>
            <w:tcW w:w="1548" w:type="dxa"/>
          </w:tcPr>
          <w:p w14:paraId="74D2B150" w14:textId="303F6C3C" w:rsidR="00D47C59" w:rsidRDefault="00D47C59" w:rsidP="00315A71">
            <w:r>
              <w:t xml:space="preserve">Month </w:t>
            </w:r>
            <w:r w:rsidR="00315A71">
              <w:t>1</w:t>
            </w:r>
            <w:r>
              <w:t>-</w:t>
            </w:r>
            <w:r w:rsidR="00315A71">
              <w:t>4</w:t>
            </w:r>
          </w:p>
        </w:tc>
        <w:tc>
          <w:tcPr>
            <w:tcW w:w="7308" w:type="dxa"/>
          </w:tcPr>
          <w:p w14:paraId="51E94146" w14:textId="40250B0D" w:rsidR="00D47C59" w:rsidRDefault="00D47C59" w:rsidP="00B833CE">
            <w:r>
              <w:t>Evaluate and further develop quantification software (linearization, curve fitting</w:t>
            </w:r>
            <w:r w:rsidR="00B833CE">
              <w:t>, image loops, parameter extraction</w:t>
            </w:r>
            <w:r>
              <w:t>)</w:t>
            </w:r>
          </w:p>
        </w:tc>
      </w:tr>
      <w:tr w:rsidR="00D47C59" w14:paraId="0F1867F5" w14:textId="77777777" w:rsidTr="00D47C59">
        <w:tc>
          <w:tcPr>
            <w:tcW w:w="1548" w:type="dxa"/>
          </w:tcPr>
          <w:p w14:paraId="6D914D41" w14:textId="77CE2E29" w:rsidR="00D47C59" w:rsidRDefault="00D47C59" w:rsidP="00315A71">
            <w:r>
              <w:t>Month 2-</w:t>
            </w:r>
            <w:r w:rsidR="00315A71">
              <w:t>6</w:t>
            </w:r>
          </w:p>
        </w:tc>
        <w:tc>
          <w:tcPr>
            <w:tcW w:w="7308" w:type="dxa"/>
          </w:tcPr>
          <w:p w14:paraId="7A4DA0A2" w14:textId="006AAA90" w:rsidR="00D47C59" w:rsidRDefault="00D47C59" w:rsidP="00751E4B">
            <w:r>
              <w:t>Evaluate and optimize clinical scanners for perfusion quantification (bubble sensitivity, tissue suppression, bubble destruction, imaging parameters)</w:t>
            </w:r>
          </w:p>
        </w:tc>
      </w:tr>
      <w:tr w:rsidR="00D47C59" w14:paraId="608E5B32" w14:textId="77777777" w:rsidTr="00D47C59">
        <w:tc>
          <w:tcPr>
            <w:tcW w:w="1548" w:type="dxa"/>
          </w:tcPr>
          <w:p w14:paraId="3658D448" w14:textId="129FF408" w:rsidR="00D47C59" w:rsidRDefault="00D47C59" w:rsidP="00315A71">
            <w:r>
              <w:t>Month 4-</w:t>
            </w:r>
            <w:r w:rsidR="00315A71">
              <w:t>10</w:t>
            </w:r>
          </w:p>
        </w:tc>
        <w:tc>
          <w:tcPr>
            <w:tcW w:w="7308" w:type="dxa"/>
          </w:tcPr>
          <w:p w14:paraId="08D4A36E" w14:textId="16500A85" w:rsidR="00D47C59" w:rsidRDefault="00D47C59" w:rsidP="00751E4B">
            <w:r>
              <w:t>Confirm linear range of intensity-concentration relationship (per system per bubble)</w:t>
            </w:r>
          </w:p>
        </w:tc>
      </w:tr>
      <w:tr w:rsidR="00D47C59" w14:paraId="6794EE7B" w14:textId="77777777" w:rsidTr="00D47C59">
        <w:tc>
          <w:tcPr>
            <w:tcW w:w="1548" w:type="dxa"/>
          </w:tcPr>
          <w:p w14:paraId="7B6D9851" w14:textId="1AB148EA" w:rsidR="00D47C59" w:rsidRDefault="00315A71" w:rsidP="00751E4B">
            <w:r>
              <w:t>Month 8-12</w:t>
            </w:r>
          </w:p>
        </w:tc>
        <w:tc>
          <w:tcPr>
            <w:tcW w:w="7308" w:type="dxa"/>
          </w:tcPr>
          <w:p w14:paraId="367953E9" w14:textId="796B7B0E" w:rsidR="00D47C59" w:rsidRDefault="00D47C59" w:rsidP="00751E4B">
            <w:r>
              <w:t>Perform and validate flow rate measurements in all tube diameters</w:t>
            </w:r>
          </w:p>
        </w:tc>
      </w:tr>
      <w:tr w:rsidR="000608F1" w14:paraId="44D2540F" w14:textId="77777777" w:rsidTr="00D47C59">
        <w:tc>
          <w:tcPr>
            <w:tcW w:w="1548" w:type="dxa"/>
          </w:tcPr>
          <w:p w14:paraId="4B1FD892" w14:textId="53EF8B14" w:rsidR="000608F1" w:rsidRDefault="000608F1" w:rsidP="00751E4B">
            <w:r>
              <w:t>Month 12</w:t>
            </w:r>
          </w:p>
        </w:tc>
        <w:tc>
          <w:tcPr>
            <w:tcW w:w="7308" w:type="dxa"/>
          </w:tcPr>
          <w:p w14:paraId="1FC43281" w14:textId="27B770FC" w:rsidR="000608F1" w:rsidRDefault="000608F1" w:rsidP="00751E4B">
            <w:r>
              <w:t>Compile and deliver report with all results</w:t>
            </w:r>
          </w:p>
        </w:tc>
      </w:tr>
    </w:tbl>
    <w:p w14:paraId="423C1E4A" w14:textId="77777777" w:rsidR="00D47C59" w:rsidRDefault="00D47C59" w:rsidP="00751E4B"/>
    <w:p w14:paraId="2CB45923" w14:textId="77777777" w:rsidR="00B833CE" w:rsidRPr="00B172F1" w:rsidRDefault="00B833CE" w:rsidP="00751E4B"/>
    <w:sectPr w:rsidR="00B833CE" w:rsidRPr="00B172F1" w:rsidSect="008A1A2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179A2" w15:done="0"/>
  <w15:commentEx w15:paraId="03CDBC43" w15:done="0"/>
  <w15:commentEx w15:paraId="0A5F1B80" w15:done="0"/>
  <w15:commentEx w15:paraId="5F87C365" w15:done="0"/>
  <w15:commentEx w15:paraId="687637BF" w15:done="0"/>
  <w15:commentEx w15:paraId="4E543283" w15:done="0"/>
  <w15:commentEx w15:paraId="69EE8908" w15:done="0"/>
  <w15:commentEx w15:paraId="276660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Hoyt">
    <w15:presenceInfo w15:providerId="Windows Live" w15:userId="cc87836d7ede9533"/>
  </w15:person>
  <w15:person w15:author="Guenette, Gilles">
    <w15:presenceInfo w15:providerId="AD" w15:userId="S-1-5-21-3889462252-1955484220-1292503460-1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08"/>
    <w:rsid w:val="00054945"/>
    <w:rsid w:val="000608F1"/>
    <w:rsid w:val="00100A64"/>
    <w:rsid w:val="001033C8"/>
    <w:rsid w:val="00152A63"/>
    <w:rsid w:val="001F1A10"/>
    <w:rsid w:val="00205637"/>
    <w:rsid w:val="00240469"/>
    <w:rsid w:val="00315A71"/>
    <w:rsid w:val="003F39A6"/>
    <w:rsid w:val="004050AD"/>
    <w:rsid w:val="004E5725"/>
    <w:rsid w:val="00502824"/>
    <w:rsid w:val="00551632"/>
    <w:rsid w:val="005A098E"/>
    <w:rsid w:val="005A39B1"/>
    <w:rsid w:val="005B0503"/>
    <w:rsid w:val="00683578"/>
    <w:rsid w:val="00751E4B"/>
    <w:rsid w:val="007F1DC6"/>
    <w:rsid w:val="007F797B"/>
    <w:rsid w:val="008558F1"/>
    <w:rsid w:val="008843F6"/>
    <w:rsid w:val="00895FF7"/>
    <w:rsid w:val="008A1A29"/>
    <w:rsid w:val="009A0B08"/>
    <w:rsid w:val="00B172F1"/>
    <w:rsid w:val="00B833CE"/>
    <w:rsid w:val="00CC3506"/>
    <w:rsid w:val="00CD1CAC"/>
    <w:rsid w:val="00CE4A15"/>
    <w:rsid w:val="00CF1243"/>
    <w:rsid w:val="00D47C59"/>
    <w:rsid w:val="00D85CBB"/>
    <w:rsid w:val="00F7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4B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B0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83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578"/>
    <w:rPr>
      <w:rFonts w:ascii="Lucida Grande" w:hAnsi="Lucida Grande" w:cs="Lucida Grande"/>
      <w:sz w:val="18"/>
      <w:szCs w:val="18"/>
    </w:rPr>
  </w:style>
  <w:style w:type="table" w:styleId="TableGrid">
    <w:name w:val="Table Grid"/>
    <w:basedOn w:val="TableNormal"/>
    <w:uiPriority w:val="59"/>
    <w:rsid w:val="00CD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DC6"/>
    <w:rPr>
      <w:sz w:val="16"/>
      <w:szCs w:val="16"/>
    </w:rPr>
  </w:style>
  <w:style w:type="paragraph" w:styleId="CommentText">
    <w:name w:val="annotation text"/>
    <w:basedOn w:val="Normal"/>
    <w:link w:val="CommentTextChar"/>
    <w:uiPriority w:val="99"/>
    <w:semiHidden/>
    <w:unhideWhenUsed/>
    <w:rsid w:val="007F1DC6"/>
    <w:rPr>
      <w:sz w:val="20"/>
      <w:szCs w:val="20"/>
    </w:rPr>
  </w:style>
  <w:style w:type="character" w:customStyle="1" w:styleId="CommentTextChar">
    <w:name w:val="Comment Text Char"/>
    <w:basedOn w:val="DefaultParagraphFont"/>
    <w:link w:val="CommentText"/>
    <w:uiPriority w:val="99"/>
    <w:semiHidden/>
    <w:rsid w:val="007F1DC6"/>
    <w:rPr>
      <w:sz w:val="20"/>
      <w:szCs w:val="20"/>
    </w:rPr>
  </w:style>
  <w:style w:type="paragraph" w:styleId="CommentSubject">
    <w:name w:val="annotation subject"/>
    <w:basedOn w:val="CommentText"/>
    <w:next w:val="CommentText"/>
    <w:link w:val="CommentSubjectChar"/>
    <w:uiPriority w:val="99"/>
    <w:semiHidden/>
    <w:unhideWhenUsed/>
    <w:rsid w:val="007F1DC6"/>
    <w:rPr>
      <w:b/>
      <w:bCs/>
    </w:rPr>
  </w:style>
  <w:style w:type="character" w:customStyle="1" w:styleId="CommentSubjectChar">
    <w:name w:val="Comment Subject Char"/>
    <w:basedOn w:val="CommentTextChar"/>
    <w:link w:val="CommentSubject"/>
    <w:uiPriority w:val="99"/>
    <w:semiHidden/>
    <w:rsid w:val="007F1D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B0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83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578"/>
    <w:rPr>
      <w:rFonts w:ascii="Lucida Grande" w:hAnsi="Lucida Grande" w:cs="Lucida Grande"/>
      <w:sz w:val="18"/>
      <w:szCs w:val="18"/>
    </w:rPr>
  </w:style>
  <w:style w:type="table" w:styleId="TableGrid">
    <w:name w:val="Table Grid"/>
    <w:basedOn w:val="TableNormal"/>
    <w:uiPriority w:val="59"/>
    <w:rsid w:val="00CD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DC6"/>
    <w:rPr>
      <w:sz w:val="16"/>
      <w:szCs w:val="16"/>
    </w:rPr>
  </w:style>
  <w:style w:type="paragraph" w:styleId="CommentText">
    <w:name w:val="annotation text"/>
    <w:basedOn w:val="Normal"/>
    <w:link w:val="CommentTextChar"/>
    <w:uiPriority w:val="99"/>
    <w:semiHidden/>
    <w:unhideWhenUsed/>
    <w:rsid w:val="007F1DC6"/>
    <w:rPr>
      <w:sz w:val="20"/>
      <w:szCs w:val="20"/>
    </w:rPr>
  </w:style>
  <w:style w:type="character" w:customStyle="1" w:styleId="CommentTextChar">
    <w:name w:val="Comment Text Char"/>
    <w:basedOn w:val="DefaultParagraphFont"/>
    <w:link w:val="CommentText"/>
    <w:uiPriority w:val="99"/>
    <w:semiHidden/>
    <w:rsid w:val="007F1DC6"/>
    <w:rPr>
      <w:sz w:val="20"/>
      <w:szCs w:val="20"/>
    </w:rPr>
  </w:style>
  <w:style w:type="paragraph" w:styleId="CommentSubject">
    <w:name w:val="annotation subject"/>
    <w:basedOn w:val="CommentText"/>
    <w:next w:val="CommentText"/>
    <w:link w:val="CommentSubjectChar"/>
    <w:uiPriority w:val="99"/>
    <w:semiHidden/>
    <w:unhideWhenUsed/>
    <w:rsid w:val="007F1DC6"/>
    <w:rPr>
      <w:b/>
      <w:bCs/>
    </w:rPr>
  </w:style>
  <w:style w:type="character" w:customStyle="1" w:styleId="CommentSubjectChar">
    <w:name w:val="Comment Subject Char"/>
    <w:basedOn w:val="CommentTextChar"/>
    <w:link w:val="CommentSubject"/>
    <w:uiPriority w:val="99"/>
    <w:semiHidden/>
    <w:rsid w:val="007F1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EDE5-FB8D-4C5B-B28A-7D7CD7B7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NEORREF</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dc:creator>
  <cp:lastModifiedBy>JL</cp:lastModifiedBy>
  <cp:revision>5</cp:revision>
  <dcterms:created xsi:type="dcterms:W3CDTF">2016-04-15T21:33:00Z</dcterms:created>
  <dcterms:modified xsi:type="dcterms:W3CDTF">2016-06-23T20:20:00Z</dcterms:modified>
</cp:coreProperties>
</file>