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96" w:rsidRDefault="00A50F96">
      <w:pPr>
        <w:rPr>
          <w:rFonts w:cstheme="minorHAnsi"/>
          <w:b/>
          <w:sz w:val="20"/>
          <w:szCs w:val="20"/>
        </w:rPr>
      </w:pPr>
      <w:r w:rsidRPr="00A11624">
        <w:rPr>
          <w:rFonts w:cstheme="minorHAnsi"/>
          <w:b/>
          <w:sz w:val="20"/>
          <w:szCs w:val="20"/>
        </w:rPr>
        <w:t>QIBA FDG PET/CT Imaging Site Checklist</w:t>
      </w:r>
    </w:p>
    <w:p w:rsidR="003E3CE2" w:rsidRPr="003E3CE2" w:rsidRDefault="003E3CE2">
      <w:pPr>
        <w:rPr>
          <w:rFonts w:cstheme="minorHAnsi"/>
          <w:sz w:val="20"/>
          <w:szCs w:val="20"/>
        </w:rPr>
      </w:pPr>
      <w:r w:rsidRPr="003E3CE2">
        <w:rPr>
          <w:rFonts w:cstheme="minorHAnsi"/>
          <w:sz w:val="20"/>
          <w:szCs w:val="20"/>
        </w:rPr>
        <w:t>The following questionnaire/checklist may be used to ascertain a PET imaging site</w:t>
      </w:r>
      <w:r w:rsidR="008D533B">
        <w:rPr>
          <w:rFonts w:cstheme="minorHAnsi"/>
          <w:sz w:val="20"/>
          <w:szCs w:val="20"/>
        </w:rPr>
        <w:t>’</w:t>
      </w:r>
      <w:r w:rsidRPr="003E3CE2">
        <w:rPr>
          <w:rFonts w:cstheme="minorHAnsi"/>
          <w:sz w:val="20"/>
          <w:szCs w:val="20"/>
        </w:rPr>
        <w:t>s qualification for quantitative imaging according to the QIBA FDG PET/CT profile.  Answers may be provided either as “current practice” or as “feasible”, depending on the context, but it should be made clear both which was expected and how the site answered.</w:t>
      </w:r>
    </w:p>
    <w:tbl>
      <w:tblPr>
        <w:tblStyle w:val="TableGrid"/>
        <w:tblW w:w="10134" w:type="dxa"/>
        <w:tblLayout w:type="fixed"/>
        <w:tblCellMar>
          <w:top w:w="29" w:type="dxa"/>
          <w:left w:w="144" w:type="dxa"/>
          <w:bottom w:w="29" w:type="dxa"/>
          <w:right w:w="144" w:type="dxa"/>
        </w:tblCellMar>
        <w:tblLook w:val="04A0" w:firstRow="1" w:lastRow="0" w:firstColumn="1" w:lastColumn="0" w:noHBand="0" w:noVBand="1"/>
      </w:tblPr>
      <w:tblGrid>
        <w:gridCol w:w="774"/>
        <w:gridCol w:w="8100"/>
        <w:gridCol w:w="1260"/>
      </w:tblGrid>
      <w:tr w:rsidR="00DF3E88" w:rsidRPr="00A11624" w:rsidTr="00581654">
        <w:trPr>
          <w:cantSplit/>
        </w:trPr>
        <w:tc>
          <w:tcPr>
            <w:tcW w:w="774" w:type="dxa"/>
            <w:shd w:val="clear" w:color="auto" w:fill="D9D9D9" w:themeFill="background1" w:themeFillShade="D9"/>
          </w:tcPr>
          <w:p w:rsidR="00DF3E88" w:rsidRPr="00F143D8" w:rsidRDefault="00DF3E88" w:rsidP="00A34B97">
            <w:pPr>
              <w:ind w:left="360"/>
              <w:rPr>
                <w:rFonts w:cstheme="minorHAnsi"/>
                <w:sz w:val="20"/>
                <w:szCs w:val="20"/>
              </w:rPr>
            </w:pPr>
          </w:p>
        </w:tc>
        <w:tc>
          <w:tcPr>
            <w:tcW w:w="8100" w:type="dxa"/>
            <w:shd w:val="clear" w:color="auto" w:fill="D9D9D9" w:themeFill="background1" w:themeFillShade="D9"/>
          </w:tcPr>
          <w:p w:rsidR="00DF3E88" w:rsidRPr="00581654" w:rsidRDefault="00DF3E88" w:rsidP="00581654">
            <w:pPr>
              <w:jc w:val="center"/>
              <w:rPr>
                <w:rFonts w:cstheme="minorHAnsi"/>
                <w:b/>
                <w:i/>
                <w:sz w:val="20"/>
                <w:szCs w:val="20"/>
              </w:rPr>
            </w:pPr>
            <w:r w:rsidRPr="00581654">
              <w:rPr>
                <w:rFonts w:cstheme="minorHAnsi"/>
                <w:b/>
                <w:i/>
                <w:sz w:val="20"/>
                <w:szCs w:val="20"/>
              </w:rPr>
              <w:t>Site and Personnel Qualifications</w:t>
            </w:r>
          </w:p>
        </w:tc>
        <w:tc>
          <w:tcPr>
            <w:tcW w:w="1260" w:type="dxa"/>
            <w:shd w:val="clear" w:color="auto" w:fill="D9D9D9" w:themeFill="background1" w:themeFillShade="D9"/>
          </w:tcPr>
          <w:p w:rsidR="00DF3E88" w:rsidRPr="00A11624" w:rsidRDefault="00DF3E88" w:rsidP="00A34B97">
            <w:pPr>
              <w:rPr>
                <w:rFonts w:cstheme="minorHAnsi"/>
                <w:sz w:val="20"/>
                <w:szCs w:val="20"/>
              </w:rPr>
            </w:pPr>
          </w:p>
        </w:tc>
      </w:tr>
      <w:tr w:rsidR="00581654" w:rsidRPr="00A11624" w:rsidTr="00581654">
        <w:trPr>
          <w:cantSplit/>
        </w:trPr>
        <w:tc>
          <w:tcPr>
            <w:tcW w:w="774" w:type="dxa"/>
          </w:tcPr>
          <w:p w:rsidR="00581654" w:rsidRPr="00A11624" w:rsidRDefault="00581654" w:rsidP="00A34B97">
            <w:pPr>
              <w:pStyle w:val="ListParagraph"/>
              <w:numPr>
                <w:ilvl w:val="0"/>
                <w:numId w:val="2"/>
              </w:numPr>
              <w:rPr>
                <w:rFonts w:cstheme="minorHAnsi"/>
                <w:sz w:val="20"/>
                <w:szCs w:val="20"/>
              </w:rPr>
            </w:pPr>
          </w:p>
        </w:tc>
        <w:tc>
          <w:tcPr>
            <w:tcW w:w="8100" w:type="dxa"/>
          </w:tcPr>
          <w:p w:rsidR="00581654" w:rsidRPr="00A11624" w:rsidRDefault="00581654" w:rsidP="00A34B97">
            <w:pPr>
              <w:rPr>
                <w:rFonts w:cstheme="minorHAnsi"/>
                <w:sz w:val="20"/>
                <w:szCs w:val="20"/>
              </w:rPr>
            </w:pPr>
            <w:r>
              <w:rPr>
                <w:rFonts w:cstheme="minorHAnsi"/>
                <w:sz w:val="20"/>
                <w:szCs w:val="20"/>
              </w:rPr>
              <w:t xml:space="preserve">The site is </w:t>
            </w:r>
            <w:proofErr w:type="spellStart"/>
            <w:r>
              <w:rPr>
                <w:rFonts w:cstheme="minorHAnsi"/>
                <w:sz w:val="20"/>
                <w:szCs w:val="20"/>
              </w:rPr>
              <w:t>accreditated</w:t>
            </w:r>
            <w:proofErr w:type="spellEnd"/>
            <w:r>
              <w:rPr>
                <w:rFonts w:cstheme="minorHAnsi"/>
                <w:sz w:val="20"/>
                <w:szCs w:val="20"/>
              </w:rPr>
              <w:t xml:space="preserve"> (ACR, IAC, TJC, etc.) or has Qualified status for clinical trials (</w:t>
            </w:r>
            <w:r w:rsidRPr="00A11624">
              <w:rPr>
                <w:rFonts w:cstheme="minorHAnsi"/>
                <w:sz w:val="20"/>
                <w:szCs w:val="20"/>
              </w:rPr>
              <w:t>ACRIN, SNM-CTN, CALGB, CROs</w:t>
            </w:r>
            <w:r>
              <w:rPr>
                <w:rFonts w:cstheme="minorHAnsi"/>
                <w:sz w:val="20"/>
                <w:szCs w:val="20"/>
              </w:rPr>
              <w:t>, etc.)</w:t>
            </w:r>
          </w:p>
        </w:tc>
        <w:tc>
          <w:tcPr>
            <w:tcW w:w="1260" w:type="dxa"/>
          </w:tcPr>
          <w:p w:rsidR="00581654" w:rsidRPr="00A11624" w:rsidRDefault="00581654" w:rsidP="00A34B97">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34B97">
            <w:pPr>
              <w:pStyle w:val="ListParagraph"/>
              <w:numPr>
                <w:ilvl w:val="0"/>
                <w:numId w:val="2"/>
              </w:numPr>
              <w:rPr>
                <w:rFonts w:cstheme="minorHAnsi"/>
                <w:sz w:val="20"/>
                <w:szCs w:val="20"/>
              </w:rPr>
            </w:pPr>
          </w:p>
        </w:tc>
        <w:tc>
          <w:tcPr>
            <w:tcW w:w="8100" w:type="dxa"/>
          </w:tcPr>
          <w:p w:rsidR="00581654" w:rsidRPr="00A11624" w:rsidRDefault="00581654" w:rsidP="00A34B97">
            <w:pPr>
              <w:rPr>
                <w:rFonts w:cstheme="minorHAnsi"/>
                <w:sz w:val="20"/>
                <w:szCs w:val="20"/>
              </w:rPr>
            </w:pPr>
            <w:r>
              <w:rPr>
                <w:rFonts w:cstheme="minorHAnsi"/>
                <w:sz w:val="20"/>
                <w:szCs w:val="20"/>
              </w:rPr>
              <w:t>The site has the support of technologists, physicists, and physicians experienced in the use of FDG-PET/CT, and meeting the qualifications described below.</w:t>
            </w:r>
          </w:p>
        </w:tc>
        <w:tc>
          <w:tcPr>
            <w:tcW w:w="1260" w:type="dxa"/>
          </w:tcPr>
          <w:p w:rsidR="00581654" w:rsidRPr="00A11624" w:rsidRDefault="00581654" w:rsidP="00A34B97">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34B97">
            <w:pPr>
              <w:pStyle w:val="ListParagraph"/>
              <w:numPr>
                <w:ilvl w:val="0"/>
                <w:numId w:val="2"/>
              </w:numPr>
              <w:rPr>
                <w:rFonts w:cstheme="minorHAnsi"/>
                <w:sz w:val="20"/>
                <w:szCs w:val="20"/>
              </w:rPr>
            </w:pPr>
          </w:p>
        </w:tc>
        <w:tc>
          <w:tcPr>
            <w:tcW w:w="8100" w:type="dxa"/>
          </w:tcPr>
          <w:p w:rsidR="00581654" w:rsidRPr="00A11624" w:rsidRDefault="00581654" w:rsidP="00A34B97">
            <w:pPr>
              <w:rPr>
                <w:rFonts w:cstheme="minorHAnsi"/>
                <w:sz w:val="20"/>
                <w:szCs w:val="20"/>
              </w:rPr>
            </w:pPr>
            <w:r>
              <w:rPr>
                <w:rFonts w:cstheme="minorHAnsi"/>
                <w:sz w:val="20"/>
                <w:szCs w:val="20"/>
              </w:rPr>
              <w:t>Technologists:  PET studie</w:t>
            </w:r>
            <w:r>
              <w:rPr>
                <w:rFonts w:cstheme="minorHAnsi"/>
                <w:sz w:val="20"/>
                <w:szCs w:val="20"/>
              </w:rPr>
              <w:t xml:space="preserve">s are performed by </w:t>
            </w:r>
            <w:proofErr w:type="spellStart"/>
            <w:r>
              <w:rPr>
                <w:rFonts w:cstheme="minorHAnsi"/>
                <w:sz w:val="20"/>
                <w:szCs w:val="20"/>
              </w:rPr>
              <w:t>techologists</w:t>
            </w:r>
            <w:proofErr w:type="spellEnd"/>
            <w:r>
              <w:rPr>
                <w:rFonts w:cstheme="minorHAnsi"/>
                <w:sz w:val="20"/>
                <w:szCs w:val="20"/>
              </w:rPr>
              <w:t xml:space="preserve"> whose certification is </w:t>
            </w:r>
            <w:r w:rsidRPr="00A11624">
              <w:rPr>
                <w:rFonts w:cstheme="minorHAnsi"/>
                <w:sz w:val="20"/>
                <w:szCs w:val="20"/>
              </w:rPr>
              <w:t>equivalent to the recommendations published by the representatives from the Society of Nuclear Medicine Technologists Section (SNMTS) and the American Society of Radiologic Technologists (ASRT) and should also meet all local, regional, and national regulatory requirements for the administration of ionizing radiation to patients</w:t>
            </w:r>
            <w:r>
              <w:rPr>
                <w:rFonts w:cstheme="minorHAnsi"/>
                <w:sz w:val="20"/>
                <w:szCs w:val="20"/>
              </w:rPr>
              <w:t>.</w:t>
            </w:r>
          </w:p>
        </w:tc>
        <w:tc>
          <w:tcPr>
            <w:tcW w:w="1260" w:type="dxa"/>
          </w:tcPr>
          <w:p w:rsidR="00581654" w:rsidRPr="00A11624" w:rsidRDefault="00581654" w:rsidP="00A34B97">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34B97">
            <w:pPr>
              <w:pStyle w:val="ListParagraph"/>
              <w:numPr>
                <w:ilvl w:val="0"/>
                <w:numId w:val="2"/>
              </w:numPr>
              <w:rPr>
                <w:rFonts w:cstheme="minorHAnsi"/>
                <w:sz w:val="20"/>
                <w:szCs w:val="20"/>
              </w:rPr>
            </w:pPr>
          </w:p>
        </w:tc>
        <w:tc>
          <w:tcPr>
            <w:tcW w:w="8100" w:type="dxa"/>
          </w:tcPr>
          <w:p w:rsidR="00581654" w:rsidRPr="00A11624" w:rsidRDefault="00581654" w:rsidP="00A34B97">
            <w:pPr>
              <w:rPr>
                <w:rFonts w:cstheme="minorHAnsi"/>
                <w:sz w:val="20"/>
                <w:szCs w:val="20"/>
              </w:rPr>
            </w:pPr>
            <w:r>
              <w:rPr>
                <w:rFonts w:cstheme="minorHAnsi"/>
                <w:sz w:val="20"/>
                <w:szCs w:val="20"/>
              </w:rPr>
              <w:t xml:space="preserve">Physicists:  The medical </w:t>
            </w:r>
            <w:proofErr w:type="gramStart"/>
            <w:r>
              <w:rPr>
                <w:rFonts w:cstheme="minorHAnsi"/>
                <w:sz w:val="20"/>
                <w:szCs w:val="20"/>
              </w:rPr>
              <w:t>physicist is</w:t>
            </w:r>
            <w:r w:rsidRPr="00A11624">
              <w:rPr>
                <w:rFonts w:cstheme="minorHAnsi"/>
                <w:sz w:val="20"/>
                <w:szCs w:val="20"/>
              </w:rPr>
              <w:t xml:space="preserve"> certified in Medical Nuclear Physics or Radiological Physics by the American Board of Radiology (ABR); in Nuclear Medicine Physics by the American Board of Science in Nuclear Medicine (ABSNM); in Nuclear Medicine Physics by the Canadian College of Physicists in Medicine; or equivalent certification in other countries; or have</w:t>
            </w:r>
            <w:proofErr w:type="gramEnd"/>
            <w:r w:rsidRPr="00A11624">
              <w:rPr>
                <w:rFonts w:cstheme="minorHAnsi"/>
                <w:sz w:val="20"/>
                <w:szCs w:val="20"/>
              </w:rPr>
              <w:t xml:space="preserve"> 3 years of PET experience.  Regardless of certification, the physicist should have specific experience in PET and its quantitative use.</w:t>
            </w:r>
          </w:p>
        </w:tc>
        <w:tc>
          <w:tcPr>
            <w:tcW w:w="1260" w:type="dxa"/>
          </w:tcPr>
          <w:p w:rsidR="00581654" w:rsidRPr="00A11624" w:rsidRDefault="00581654" w:rsidP="00A34B97">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34B97">
            <w:pPr>
              <w:pStyle w:val="ListParagraph"/>
              <w:numPr>
                <w:ilvl w:val="0"/>
                <w:numId w:val="2"/>
              </w:numPr>
              <w:rPr>
                <w:rFonts w:cstheme="minorHAnsi"/>
                <w:sz w:val="20"/>
                <w:szCs w:val="20"/>
              </w:rPr>
            </w:pPr>
          </w:p>
        </w:tc>
        <w:tc>
          <w:tcPr>
            <w:tcW w:w="8100" w:type="dxa"/>
          </w:tcPr>
          <w:p w:rsidR="00581654" w:rsidRPr="00A11624" w:rsidRDefault="00581654" w:rsidP="008D533B">
            <w:pPr>
              <w:rPr>
                <w:rFonts w:cstheme="minorHAnsi"/>
                <w:sz w:val="20"/>
                <w:szCs w:val="20"/>
              </w:rPr>
            </w:pPr>
            <w:r w:rsidRPr="00A11624">
              <w:rPr>
                <w:rFonts w:cstheme="minorHAnsi"/>
                <w:sz w:val="20"/>
                <w:szCs w:val="20"/>
              </w:rPr>
              <w:t xml:space="preserve">Physicians overseeing and interpreting PET/CT scans </w:t>
            </w:r>
            <w:r>
              <w:rPr>
                <w:rFonts w:cstheme="minorHAnsi"/>
                <w:sz w:val="20"/>
                <w:szCs w:val="20"/>
              </w:rPr>
              <w:t>are</w:t>
            </w:r>
            <w:r w:rsidRPr="00A11624">
              <w:rPr>
                <w:rFonts w:cstheme="minorHAnsi"/>
                <w:sz w:val="20"/>
                <w:szCs w:val="20"/>
              </w:rPr>
              <w:t xml:space="preserve"> qualified by the ABR (Diagnostic and/or Nuclear Radiology) or American Board of Nuclear Medicine (ABNM) or equivalent within the United States or an equivalent entity appropriate for the geographic location in which the imaging study(</w:t>
            </w:r>
            <w:proofErr w:type="spellStart"/>
            <w:r w:rsidRPr="00A11624">
              <w:rPr>
                <w:rFonts w:cstheme="minorHAnsi"/>
                <w:sz w:val="20"/>
                <w:szCs w:val="20"/>
              </w:rPr>
              <w:t>ies</w:t>
            </w:r>
            <w:proofErr w:type="spellEnd"/>
            <w:r w:rsidRPr="00A11624">
              <w:rPr>
                <w:rFonts w:cstheme="minorHAnsi"/>
                <w:sz w:val="20"/>
                <w:szCs w:val="20"/>
              </w:rPr>
              <w:t>) will be performed and/or interpreted.</w:t>
            </w:r>
          </w:p>
        </w:tc>
        <w:tc>
          <w:tcPr>
            <w:tcW w:w="1260" w:type="dxa"/>
          </w:tcPr>
          <w:p w:rsidR="00581654" w:rsidRPr="00A11624" w:rsidRDefault="00581654" w:rsidP="00A34B97">
            <w:pPr>
              <w:rPr>
                <w:rFonts w:cstheme="minorHAnsi"/>
                <w:sz w:val="20"/>
                <w:szCs w:val="20"/>
              </w:rPr>
            </w:pPr>
            <w:r>
              <w:rPr>
                <w:rFonts w:cstheme="minorHAnsi"/>
                <w:sz w:val="20"/>
                <w:szCs w:val="20"/>
              </w:rPr>
              <w:t>__ yes __no</w:t>
            </w:r>
          </w:p>
        </w:tc>
      </w:tr>
      <w:tr w:rsidR="00581654" w:rsidRPr="00A11624" w:rsidTr="00581654">
        <w:trPr>
          <w:cantSplit/>
        </w:trPr>
        <w:tc>
          <w:tcPr>
            <w:tcW w:w="774" w:type="dxa"/>
            <w:shd w:val="clear" w:color="auto" w:fill="D9D9D9" w:themeFill="background1" w:themeFillShade="D9"/>
          </w:tcPr>
          <w:p w:rsidR="00581654" w:rsidRPr="0012563F" w:rsidRDefault="00581654" w:rsidP="0012563F">
            <w:pPr>
              <w:ind w:left="360"/>
              <w:rPr>
                <w:rFonts w:cstheme="minorHAnsi"/>
                <w:sz w:val="20"/>
                <w:szCs w:val="20"/>
              </w:rPr>
            </w:pPr>
          </w:p>
        </w:tc>
        <w:tc>
          <w:tcPr>
            <w:tcW w:w="8100" w:type="dxa"/>
            <w:shd w:val="clear" w:color="auto" w:fill="D9D9D9" w:themeFill="background1" w:themeFillShade="D9"/>
          </w:tcPr>
          <w:p w:rsidR="00581654" w:rsidRPr="00581654" w:rsidRDefault="00581654" w:rsidP="00581654">
            <w:pPr>
              <w:jc w:val="center"/>
              <w:rPr>
                <w:rFonts w:cstheme="minorHAnsi"/>
                <w:b/>
                <w:i/>
                <w:sz w:val="20"/>
                <w:szCs w:val="20"/>
              </w:rPr>
            </w:pPr>
            <w:r w:rsidRPr="00581654">
              <w:rPr>
                <w:rFonts w:cstheme="minorHAnsi"/>
                <w:b/>
                <w:i/>
                <w:sz w:val="20"/>
                <w:szCs w:val="20"/>
              </w:rPr>
              <w:t>Imaging Procedures</w:t>
            </w:r>
          </w:p>
        </w:tc>
        <w:tc>
          <w:tcPr>
            <w:tcW w:w="1260" w:type="dxa"/>
            <w:shd w:val="clear" w:color="auto" w:fill="D9D9D9" w:themeFill="background1" w:themeFillShade="D9"/>
          </w:tcPr>
          <w:p w:rsidR="00581654" w:rsidRPr="00A11624" w:rsidRDefault="00581654">
            <w:pPr>
              <w:rPr>
                <w:rFonts w:cstheme="minorHAnsi"/>
                <w:sz w:val="20"/>
                <w:szCs w:val="20"/>
              </w:rPr>
            </w:pP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pPr>
              <w:rPr>
                <w:rFonts w:cstheme="minorHAnsi"/>
                <w:sz w:val="20"/>
                <w:szCs w:val="20"/>
              </w:rPr>
            </w:pPr>
            <w:r>
              <w:rPr>
                <w:rFonts w:cstheme="minorHAnsi"/>
                <w:sz w:val="20"/>
                <w:szCs w:val="20"/>
              </w:rPr>
              <w:t>Patient height and weight are entered into scanner during PET/CT acquisition.</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rsidP="003D2883">
            <w:pPr>
              <w:rPr>
                <w:rFonts w:cstheme="minorHAnsi"/>
                <w:sz w:val="20"/>
                <w:szCs w:val="20"/>
              </w:rPr>
            </w:pPr>
            <w:r>
              <w:rPr>
                <w:rFonts w:cstheme="minorHAnsi"/>
                <w:sz w:val="20"/>
                <w:szCs w:val="20"/>
              </w:rPr>
              <w:t>Blood glucose is measured for each patient within 2 hours preceding FDG administration.  Measurement and measurement time are documented.</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pPr>
              <w:rPr>
                <w:rFonts w:cstheme="minorHAnsi"/>
                <w:sz w:val="20"/>
                <w:szCs w:val="20"/>
              </w:rPr>
            </w:pPr>
            <w:r>
              <w:rPr>
                <w:rFonts w:cstheme="minorHAnsi"/>
                <w:sz w:val="20"/>
                <w:szCs w:val="20"/>
              </w:rPr>
              <w:t>If and when glucose threshold is not exceeded, the reason shall be documented.</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rsidP="008D533B">
            <w:pPr>
              <w:rPr>
                <w:rFonts w:cstheme="minorHAnsi"/>
                <w:sz w:val="20"/>
                <w:szCs w:val="20"/>
              </w:rPr>
            </w:pPr>
            <w:r>
              <w:rPr>
                <w:rFonts w:cstheme="minorHAnsi"/>
                <w:sz w:val="20"/>
                <w:szCs w:val="20"/>
              </w:rPr>
              <w:t xml:space="preserve">For each patient, the pre-injection FDG activity is measured and injected and residual activity is measured.  Initial and residual measurement times and injection time are entered into the console. </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rsidP="00960B90">
            <w:pPr>
              <w:rPr>
                <w:rFonts w:cstheme="minorHAnsi"/>
                <w:sz w:val="20"/>
                <w:szCs w:val="20"/>
              </w:rPr>
            </w:pPr>
            <w:r>
              <w:rPr>
                <w:rFonts w:cstheme="minorHAnsi"/>
                <w:sz w:val="20"/>
                <w:szCs w:val="20"/>
              </w:rPr>
              <w:t xml:space="preserve">FDG is administered through a 24 gauge or larger indwelling catheter </w:t>
            </w:r>
            <w:r w:rsidRPr="00A11624">
              <w:rPr>
                <w:rFonts w:cstheme="minorHAnsi"/>
                <w:sz w:val="20"/>
                <w:szCs w:val="20"/>
              </w:rPr>
              <w:t xml:space="preserve">placed anatomically remote to any sites of suspected pathology, preferably in an </w:t>
            </w:r>
            <w:proofErr w:type="spellStart"/>
            <w:r w:rsidRPr="00A11624">
              <w:rPr>
                <w:rFonts w:cstheme="minorHAnsi"/>
                <w:sz w:val="20"/>
                <w:szCs w:val="20"/>
              </w:rPr>
              <w:t>antecubital</w:t>
            </w:r>
            <w:proofErr w:type="spellEnd"/>
            <w:r w:rsidRPr="00A11624">
              <w:rPr>
                <w:rFonts w:cstheme="minorHAnsi"/>
                <w:sz w:val="20"/>
                <w:szCs w:val="20"/>
              </w:rPr>
              <w:t xml:space="preserve"> vein. Intravenous ports should not be used, unless no other venous access is available.</w:t>
            </w:r>
          </w:p>
          <w:p w:rsidR="00581654" w:rsidRPr="00A11624" w:rsidRDefault="00581654" w:rsidP="00960B90">
            <w:pPr>
              <w:rPr>
                <w:rFonts w:cstheme="minorHAnsi"/>
                <w:sz w:val="20"/>
                <w:szCs w:val="20"/>
              </w:rPr>
            </w:pPr>
            <w:r w:rsidRPr="00A11624">
              <w:rPr>
                <w:rFonts w:cstheme="minorHAnsi"/>
                <w:sz w:val="20"/>
                <w:szCs w:val="20"/>
              </w:rPr>
              <w:t xml:space="preserve">In the case of manual administration, a three-way valve system should be attached to the intravenous cannula so as to allow at least a 10 cc normal (0.9% </w:t>
            </w:r>
            <w:proofErr w:type="spellStart"/>
            <w:r w:rsidRPr="00A11624">
              <w:rPr>
                <w:rFonts w:cstheme="minorHAnsi"/>
                <w:sz w:val="20"/>
                <w:szCs w:val="20"/>
              </w:rPr>
              <w:t>NaCl</w:t>
            </w:r>
            <w:proofErr w:type="spellEnd"/>
            <w:r w:rsidRPr="00A11624">
              <w:rPr>
                <w:rFonts w:cstheme="minorHAnsi"/>
                <w:sz w:val="20"/>
                <w:szCs w:val="20"/>
              </w:rPr>
              <w:t>) saline flush following FDG injection.  For automated injection devices alternate flushing mechanisms are allowed.</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pPr>
              <w:rPr>
                <w:rFonts w:cstheme="minorHAnsi"/>
                <w:sz w:val="20"/>
                <w:szCs w:val="20"/>
              </w:rPr>
            </w:pPr>
            <w:r>
              <w:rPr>
                <w:rFonts w:cstheme="minorHAnsi"/>
                <w:sz w:val="20"/>
                <w:szCs w:val="20"/>
              </w:rPr>
              <w:t>For follow-up scans patients are imaged with the same workflow as for baseline scans.</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pPr>
              <w:rPr>
                <w:rFonts w:cstheme="minorHAnsi"/>
                <w:sz w:val="20"/>
                <w:szCs w:val="20"/>
              </w:rPr>
            </w:pPr>
            <w:r>
              <w:rPr>
                <w:rFonts w:cstheme="minorHAnsi"/>
                <w:sz w:val="20"/>
                <w:szCs w:val="20"/>
              </w:rPr>
              <w:t>The FDG uptake time (from injection to scan) is 60 minutes, with an acceptable range of 55-75 minutes.   When repeating a scan on the same subject, uptake time for the 2</w:t>
            </w:r>
            <w:r w:rsidRPr="00960B90">
              <w:rPr>
                <w:rFonts w:cstheme="minorHAnsi"/>
                <w:sz w:val="20"/>
                <w:szCs w:val="20"/>
                <w:vertAlign w:val="superscript"/>
              </w:rPr>
              <w:t>nd</w:t>
            </w:r>
            <w:r>
              <w:rPr>
                <w:rFonts w:cstheme="minorHAnsi"/>
                <w:sz w:val="20"/>
                <w:szCs w:val="20"/>
              </w:rPr>
              <w:t xml:space="preserve"> scan is within 10 minutes of that for the first scan.</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rsidP="00960B90">
            <w:pPr>
              <w:rPr>
                <w:rFonts w:cstheme="minorHAnsi"/>
                <w:sz w:val="20"/>
                <w:szCs w:val="20"/>
              </w:rPr>
            </w:pPr>
            <w:r w:rsidRPr="00A11624">
              <w:rPr>
                <w:rFonts w:cstheme="minorHAnsi"/>
                <w:sz w:val="20"/>
                <w:szCs w:val="20"/>
              </w:rPr>
              <w:t xml:space="preserve">If the patient is observed to take a deep breath during the CT scan it </w:t>
            </w:r>
            <w:r>
              <w:rPr>
                <w:rFonts w:cstheme="minorHAnsi"/>
                <w:sz w:val="20"/>
                <w:szCs w:val="20"/>
              </w:rPr>
              <w:t>is</w:t>
            </w:r>
            <w:r w:rsidRPr="00A11624">
              <w:rPr>
                <w:rFonts w:cstheme="minorHAnsi"/>
                <w:sz w:val="20"/>
                <w:szCs w:val="20"/>
              </w:rPr>
              <w:t xml:space="preserve"> documented and a repeat CT study </w:t>
            </w:r>
            <w:r>
              <w:rPr>
                <w:rFonts w:cstheme="minorHAnsi"/>
                <w:sz w:val="20"/>
                <w:szCs w:val="20"/>
              </w:rPr>
              <w:t>is</w:t>
            </w:r>
            <w:r w:rsidRPr="00A11624">
              <w:rPr>
                <w:rFonts w:cstheme="minorHAnsi"/>
                <w:sz w:val="20"/>
                <w:szCs w:val="20"/>
              </w:rPr>
              <w:t xml:space="preserve"> considered.  </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rsidP="00960B90">
            <w:pPr>
              <w:rPr>
                <w:rFonts w:cstheme="minorHAnsi"/>
                <w:sz w:val="20"/>
                <w:szCs w:val="20"/>
              </w:rPr>
            </w:pPr>
            <w:r>
              <w:rPr>
                <w:rFonts w:cstheme="minorHAnsi"/>
                <w:sz w:val="20"/>
                <w:szCs w:val="20"/>
              </w:rPr>
              <w:t>When a patient is rescanned, the same scan direction is used.</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pPr>
              <w:rPr>
                <w:rFonts w:cstheme="minorHAnsi"/>
                <w:sz w:val="20"/>
                <w:szCs w:val="20"/>
              </w:rPr>
            </w:pPr>
            <w:r>
              <w:rPr>
                <w:rFonts w:cstheme="minorHAnsi"/>
                <w:sz w:val="20"/>
                <w:szCs w:val="20"/>
              </w:rPr>
              <w:t>Reconstructed PET images, with and without attenuation correction, and CT images are archived at the imaging site.</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shd w:val="clear" w:color="auto" w:fill="D9D9D9" w:themeFill="background1" w:themeFillShade="D9"/>
          </w:tcPr>
          <w:p w:rsidR="00581654" w:rsidRPr="00F143D8" w:rsidRDefault="00581654" w:rsidP="00F143D8">
            <w:pPr>
              <w:ind w:left="360"/>
              <w:rPr>
                <w:rFonts w:cstheme="minorHAnsi"/>
                <w:sz w:val="20"/>
                <w:szCs w:val="20"/>
              </w:rPr>
            </w:pPr>
          </w:p>
        </w:tc>
        <w:tc>
          <w:tcPr>
            <w:tcW w:w="8100" w:type="dxa"/>
            <w:shd w:val="clear" w:color="auto" w:fill="D9D9D9" w:themeFill="background1" w:themeFillShade="D9"/>
          </w:tcPr>
          <w:p w:rsidR="00581654" w:rsidRPr="00581654" w:rsidRDefault="00581654" w:rsidP="00581654">
            <w:pPr>
              <w:jc w:val="center"/>
              <w:rPr>
                <w:rFonts w:cstheme="minorHAnsi"/>
                <w:b/>
                <w:i/>
                <w:sz w:val="20"/>
                <w:szCs w:val="20"/>
              </w:rPr>
            </w:pPr>
            <w:bookmarkStart w:id="0" w:name="_GoBack"/>
            <w:r w:rsidRPr="00581654">
              <w:rPr>
                <w:rFonts w:cstheme="minorHAnsi"/>
                <w:b/>
                <w:i/>
                <w:sz w:val="20"/>
                <w:szCs w:val="20"/>
              </w:rPr>
              <w:t>QA/QC</w:t>
            </w:r>
            <w:bookmarkEnd w:id="0"/>
          </w:p>
        </w:tc>
        <w:tc>
          <w:tcPr>
            <w:tcW w:w="1260" w:type="dxa"/>
            <w:shd w:val="clear" w:color="auto" w:fill="D9D9D9" w:themeFill="background1" w:themeFillShade="D9"/>
          </w:tcPr>
          <w:p w:rsidR="00581654" w:rsidRPr="00A11624" w:rsidRDefault="00581654">
            <w:pPr>
              <w:rPr>
                <w:rFonts w:cstheme="minorHAnsi"/>
                <w:sz w:val="20"/>
                <w:szCs w:val="20"/>
              </w:rPr>
            </w:pP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rsidP="00F416AA">
            <w:pPr>
              <w:rPr>
                <w:rFonts w:cstheme="minorHAnsi"/>
                <w:sz w:val="20"/>
                <w:szCs w:val="20"/>
              </w:rPr>
            </w:pPr>
            <w:r>
              <w:rPr>
                <w:rFonts w:cstheme="minorHAnsi"/>
                <w:sz w:val="20"/>
                <w:szCs w:val="20"/>
              </w:rPr>
              <w:t>The site performs all PET/CT scanner QA/QC procedures recommended by the manufacturer and at the recommended frequency (e.g., daily, weekly, quarterly) and assures that the output values are acceptable.</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rsidP="00F416AA">
            <w:pPr>
              <w:rPr>
                <w:rFonts w:cstheme="minorHAnsi"/>
                <w:sz w:val="20"/>
                <w:szCs w:val="20"/>
              </w:rPr>
            </w:pPr>
            <w:r w:rsidRPr="00A11624">
              <w:rPr>
                <w:rFonts w:cstheme="minorHAnsi"/>
                <w:sz w:val="20"/>
                <w:szCs w:val="20"/>
              </w:rPr>
              <w:t xml:space="preserve">Daily QA procedures </w:t>
            </w:r>
            <w:r>
              <w:rPr>
                <w:rFonts w:cstheme="minorHAnsi"/>
                <w:sz w:val="20"/>
                <w:szCs w:val="20"/>
              </w:rPr>
              <w:t>are</w:t>
            </w:r>
            <w:r w:rsidRPr="00A11624">
              <w:rPr>
                <w:rFonts w:cstheme="minorHAnsi"/>
                <w:sz w:val="20"/>
                <w:szCs w:val="20"/>
              </w:rPr>
              <w:t xml:space="preserve"> performed prior to any subject scan.</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34B97">
            <w:pPr>
              <w:pStyle w:val="ListParagraph"/>
              <w:numPr>
                <w:ilvl w:val="0"/>
                <w:numId w:val="2"/>
              </w:numPr>
              <w:rPr>
                <w:rFonts w:cstheme="minorHAnsi"/>
                <w:sz w:val="20"/>
                <w:szCs w:val="20"/>
              </w:rPr>
            </w:pPr>
          </w:p>
        </w:tc>
        <w:tc>
          <w:tcPr>
            <w:tcW w:w="8100" w:type="dxa"/>
          </w:tcPr>
          <w:p w:rsidR="00581654" w:rsidRDefault="00581654" w:rsidP="0012563F">
            <w:pPr>
              <w:rPr>
                <w:rFonts w:cstheme="minorHAnsi"/>
                <w:sz w:val="20"/>
                <w:szCs w:val="20"/>
              </w:rPr>
            </w:pPr>
            <w:r>
              <w:rPr>
                <w:rFonts w:cstheme="minorHAnsi"/>
                <w:sz w:val="20"/>
                <w:szCs w:val="20"/>
              </w:rPr>
              <w:t>A water or water-equivalent phantom is scanned and evaluated daily and acceptable output is ensured.</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rsidP="00F143D8">
            <w:pPr>
              <w:rPr>
                <w:rFonts w:cstheme="minorHAnsi"/>
                <w:sz w:val="20"/>
                <w:szCs w:val="20"/>
              </w:rPr>
            </w:pPr>
            <w:r>
              <w:rPr>
                <w:rFonts w:cstheme="minorHAnsi"/>
                <w:sz w:val="20"/>
                <w:szCs w:val="20"/>
              </w:rPr>
              <w:t>Dose calibrator constancy is evaluated daily on the F-18 setting.  Day-to-day differences no greater than 2.5% are allowed.   Cs-137, Co-57, or simulated F-18 may be used.</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rsidP="00F143D8">
            <w:pPr>
              <w:rPr>
                <w:rFonts w:cstheme="minorHAnsi"/>
                <w:sz w:val="20"/>
                <w:szCs w:val="20"/>
              </w:rPr>
            </w:pPr>
            <w:r>
              <w:rPr>
                <w:rFonts w:cstheme="minorHAnsi"/>
                <w:sz w:val="20"/>
                <w:szCs w:val="20"/>
              </w:rPr>
              <w:t xml:space="preserve">The dose calibrator accuracy is evaluated monthly with measured values </w:t>
            </w:r>
            <w:proofErr w:type="gramStart"/>
            <w:r>
              <w:rPr>
                <w:rFonts w:cstheme="minorHAnsi"/>
                <w:sz w:val="20"/>
                <w:szCs w:val="20"/>
              </w:rPr>
              <w:t>differing</w:t>
            </w:r>
            <w:proofErr w:type="gramEnd"/>
            <w:r>
              <w:rPr>
                <w:rFonts w:cstheme="minorHAnsi"/>
                <w:sz w:val="20"/>
                <w:szCs w:val="20"/>
              </w:rPr>
              <w:t xml:space="preserve"> no more than 2.5% from the actual source value.  Cs-137, Co-57, or simulated F-18 may be used.</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pPr>
              <w:rPr>
                <w:rFonts w:cstheme="minorHAnsi"/>
                <w:sz w:val="20"/>
                <w:szCs w:val="20"/>
              </w:rPr>
            </w:pPr>
            <w:r>
              <w:rPr>
                <w:rFonts w:cstheme="minorHAnsi"/>
                <w:sz w:val="20"/>
                <w:szCs w:val="20"/>
              </w:rPr>
              <w:t xml:space="preserve">Dose calibrator linearity is assessed at least annually over a range of 37-1110 </w:t>
            </w:r>
            <w:proofErr w:type="spellStart"/>
            <w:r>
              <w:rPr>
                <w:rFonts w:cstheme="minorHAnsi"/>
                <w:sz w:val="20"/>
                <w:szCs w:val="20"/>
              </w:rPr>
              <w:t>MBq</w:t>
            </w:r>
            <w:proofErr w:type="spellEnd"/>
            <w:r>
              <w:rPr>
                <w:rFonts w:cstheme="minorHAnsi"/>
                <w:sz w:val="20"/>
                <w:szCs w:val="20"/>
              </w:rPr>
              <w:t>, with deviation of no more than 2.5% over the entire range.</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rsidP="003D2883">
            <w:pPr>
              <w:rPr>
                <w:rFonts w:cstheme="minorHAnsi"/>
                <w:sz w:val="20"/>
                <w:szCs w:val="20"/>
              </w:rPr>
            </w:pPr>
            <w:r>
              <w:rPr>
                <w:rFonts w:cstheme="minorHAnsi"/>
                <w:sz w:val="20"/>
                <w:szCs w:val="20"/>
              </w:rPr>
              <w:t xml:space="preserve">Scales for patient weight measurement are </w:t>
            </w:r>
            <w:r w:rsidRPr="00A11624">
              <w:rPr>
                <w:rFonts w:cstheme="minorHAnsi"/>
                <w:sz w:val="20"/>
                <w:szCs w:val="20"/>
              </w:rPr>
              <w:t>evaluated annually or after an</w:t>
            </w:r>
            <w:r>
              <w:rPr>
                <w:rFonts w:cstheme="minorHAnsi"/>
                <w:sz w:val="20"/>
                <w:szCs w:val="20"/>
              </w:rPr>
              <w:t>y repair by qualified personnel, with error no more than 2.5% from expected values using a NIST-traceable or equivalent standard.</w:t>
            </w:r>
          </w:p>
          <w:p w:rsidR="00581654" w:rsidRPr="00A11624" w:rsidRDefault="00581654">
            <w:pPr>
              <w:rPr>
                <w:rFonts w:cstheme="minorHAnsi"/>
                <w:sz w:val="20"/>
                <w:szCs w:val="20"/>
              </w:rPr>
            </w:pP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pPr>
              <w:rPr>
                <w:rFonts w:cstheme="minorHAnsi"/>
                <w:sz w:val="20"/>
                <w:szCs w:val="20"/>
              </w:rPr>
            </w:pPr>
            <w:r>
              <w:rPr>
                <w:rFonts w:cstheme="minorHAnsi"/>
                <w:sz w:val="20"/>
                <w:szCs w:val="20"/>
              </w:rPr>
              <w:t xml:space="preserve">The glucose measuring device is measured and tested according to </w:t>
            </w:r>
            <w:r w:rsidRPr="00A11624">
              <w:rPr>
                <w:rFonts w:cstheme="minorHAnsi"/>
                <w:sz w:val="20"/>
                <w:szCs w:val="20"/>
              </w:rPr>
              <w:t>a CLIA-approved, CLIA-cleared, or equivalent (outside US) procedure.</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rsidP="002C1B3A">
            <w:pPr>
              <w:rPr>
                <w:rFonts w:cstheme="minorHAnsi"/>
                <w:sz w:val="20"/>
                <w:szCs w:val="20"/>
              </w:rPr>
            </w:pPr>
            <w:r>
              <w:rPr>
                <w:rFonts w:cstheme="minorHAnsi"/>
                <w:sz w:val="20"/>
                <w:szCs w:val="20"/>
              </w:rPr>
              <w:t xml:space="preserve">The </w:t>
            </w:r>
            <w:r w:rsidRPr="00A11624">
              <w:rPr>
                <w:rFonts w:cstheme="minorHAnsi"/>
                <w:sz w:val="20"/>
                <w:szCs w:val="20"/>
              </w:rPr>
              <w:t xml:space="preserve">PET/CT scanner computer and all clocks in </w:t>
            </w:r>
            <w:r>
              <w:rPr>
                <w:rFonts w:cstheme="minorHAnsi"/>
                <w:sz w:val="20"/>
                <w:szCs w:val="20"/>
              </w:rPr>
              <w:t>the</w:t>
            </w:r>
            <w:r w:rsidRPr="00A11624">
              <w:rPr>
                <w:rFonts w:cstheme="minorHAnsi"/>
                <w:sz w:val="20"/>
                <w:szCs w:val="20"/>
              </w:rPr>
              <w:t xml:space="preserve"> Imaging facility used to record activity/injection measurements </w:t>
            </w:r>
            <w:r>
              <w:rPr>
                <w:rFonts w:cstheme="minorHAnsi"/>
                <w:sz w:val="20"/>
                <w:szCs w:val="20"/>
              </w:rPr>
              <w:t>are</w:t>
            </w:r>
            <w:r w:rsidRPr="00A11624">
              <w:rPr>
                <w:rFonts w:cstheme="minorHAnsi"/>
                <w:sz w:val="20"/>
                <w:szCs w:val="20"/>
              </w:rPr>
              <w:t xml:space="preserve"> synchronized to standard time reference within +/-1 minute.</w:t>
            </w:r>
          </w:p>
          <w:p w:rsidR="00581654" w:rsidRPr="00A11624" w:rsidRDefault="00581654" w:rsidP="002C1B3A">
            <w:pPr>
              <w:rPr>
                <w:rFonts w:cstheme="minorHAnsi"/>
                <w:sz w:val="20"/>
                <w:szCs w:val="20"/>
              </w:rPr>
            </w:pPr>
            <w:r w:rsidRPr="00A11624">
              <w:rPr>
                <w:rFonts w:cstheme="minorHAnsi"/>
                <w:sz w:val="20"/>
                <w:szCs w:val="20"/>
              </w:rPr>
              <w:t xml:space="preserve">Synchronization of all clocks used in the conduct of the FDG-PET/CT study </w:t>
            </w:r>
            <w:r>
              <w:rPr>
                <w:rFonts w:cstheme="minorHAnsi"/>
                <w:sz w:val="20"/>
                <w:szCs w:val="20"/>
              </w:rPr>
              <w:t>is</w:t>
            </w:r>
            <w:r w:rsidRPr="00A11624">
              <w:rPr>
                <w:rFonts w:cstheme="minorHAnsi"/>
                <w:sz w:val="20"/>
                <w:szCs w:val="20"/>
              </w:rPr>
              <w:t xml:space="preserve"> checked weekly and after power outages or civil changes for Daylight Savings (NA) or Summer Time (</w:t>
            </w:r>
            <w:proofErr w:type="spellStart"/>
            <w:r w:rsidRPr="00A11624">
              <w:rPr>
                <w:rFonts w:cstheme="minorHAnsi"/>
                <w:sz w:val="20"/>
                <w:szCs w:val="20"/>
              </w:rPr>
              <w:t>Eur</w:t>
            </w:r>
            <w:proofErr w:type="spellEnd"/>
            <w:r w:rsidRPr="00A11624">
              <w:rPr>
                <w:rFonts w:cstheme="minorHAnsi"/>
                <w:sz w:val="20"/>
                <w:szCs w:val="20"/>
              </w:rPr>
              <w:t>)</w:t>
            </w:r>
            <w:r>
              <w:rPr>
                <w:rFonts w:cstheme="minorHAnsi"/>
                <w:sz w:val="20"/>
                <w:szCs w:val="20"/>
              </w:rPr>
              <w:t>.</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pPr>
              <w:rPr>
                <w:rFonts w:cstheme="minorHAnsi"/>
                <w:sz w:val="20"/>
                <w:szCs w:val="20"/>
              </w:rPr>
            </w:pPr>
            <w:r>
              <w:rPr>
                <w:rFonts w:cstheme="minorHAnsi"/>
                <w:sz w:val="20"/>
                <w:szCs w:val="20"/>
              </w:rPr>
              <w:t xml:space="preserve">Quantitative Calibration Accuracy:  PET scanner quantitative accuracy relative to the dose calibrator is verified quarterly and </w:t>
            </w:r>
            <w:r w:rsidRPr="00A11624">
              <w:rPr>
                <w:rFonts w:cstheme="minorHAnsi"/>
                <w:sz w:val="20"/>
                <w:szCs w:val="20"/>
              </w:rPr>
              <w:t>after scanner upgrades, maintenance or repairs, new setups and modifications to the dose calibrator</w:t>
            </w:r>
            <w:r>
              <w:rPr>
                <w:rFonts w:cstheme="minorHAnsi"/>
                <w:sz w:val="20"/>
                <w:szCs w:val="20"/>
              </w:rPr>
              <w:t xml:space="preserve"> via a uniform phantom scan of activity measured in the dose calibrator, achieving a large central ROI mean SUV value of 1.0 (acceptable range 0.9-1.1).</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pPr>
              <w:rPr>
                <w:rFonts w:cstheme="minorHAnsi"/>
                <w:sz w:val="20"/>
                <w:szCs w:val="20"/>
              </w:rPr>
            </w:pPr>
            <w:r>
              <w:rPr>
                <w:rFonts w:cstheme="minorHAnsi"/>
                <w:sz w:val="20"/>
                <w:szCs w:val="20"/>
              </w:rPr>
              <w:t xml:space="preserve">Axial Uniformity:  </w:t>
            </w:r>
            <w:r w:rsidRPr="00A11624">
              <w:rPr>
                <w:rFonts w:cstheme="minorHAnsi"/>
                <w:sz w:val="20"/>
                <w:szCs w:val="20"/>
              </w:rPr>
              <w:t xml:space="preserve">Using </w:t>
            </w:r>
            <w:r>
              <w:rPr>
                <w:rFonts w:cstheme="minorHAnsi"/>
                <w:sz w:val="20"/>
                <w:szCs w:val="20"/>
              </w:rPr>
              <w:t xml:space="preserve">a </w:t>
            </w:r>
            <w:r w:rsidRPr="00A11624">
              <w:rPr>
                <w:rFonts w:cstheme="minorHAnsi"/>
                <w:sz w:val="20"/>
                <w:szCs w:val="20"/>
              </w:rPr>
              <w:t>uniform cylinder phantom or equivalent shall obtain a slice-to-slice variability of less than 10% for the slices within the central 80% of the axial FOV</w:t>
            </w:r>
            <w:r>
              <w:rPr>
                <w:rFonts w:cstheme="minorHAnsi"/>
                <w:sz w:val="20"/>
                <w:szCs w:val="20"/>
              </w:rPr>
              <w:t>.</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pPr>
              <w:rPr>
                <w:rFonts w:cstheme="minorHAnsi"/>
                <w:sz w:val="20"/>
                <w:szCs w:val="20"/>
              </w:rPr>
            </w:pPr>
            <w:r>
              <w:rPr>
                <w:rFonts w:cstheme="minorHAnsi"/>
                <w:sz w:val="20"/>
                <w:szCs w:val="20"/>
              </w:rPr>
              <w:t>PET Resolution:   Cold rods (as in the Jaszczak or ACR PET phantoms) of diameter 9.5 mm or smaller must be visible.  A hot cylinder (as in the ACR PET phantom) of 12 mm or smaller must be visible OR the 13 mm sphere of the NEMA image quality phantom must be visible.</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pPr>
              <w:rPr>
                <w:rFonts w:cstheme="minorHAnsi"/>
                <w:sz w:val="20"/>
                <w:szCs w:val="20"/>
              </w:rPr>
            </w:pPr>
            <w:r>
              <w:rPr>
                <w:rFonts w:cstheme="minorHAnsi"/>
                <w:sz w:val="20"/>
                <w:szCs w:val="20"/>
              </w:rPr>
              <w:t xml:space="preserve">PET noise:  In a uniform phantom of 0.1 to 0.2 </w:t>
            </w:r>
            <w:r>
              <w:rPr>
                <w:rFonts w:cstheme="minorHAnsi"/>
                <w:sz w:val="20"/>
                <w:szCs w:val="20"/>
              </w:rPr>
              <w:t>µ</w:t>
            </w:r>
            <w:proofErr w:type="spellStart"/>
            <w:r>
              <w:rPr>
                <w:rFonts w:cstheme="minorHAnsi"/>
                <w:sz w:val="20"/>
                <w:szCs w:val="20"/>
              </w:rPr>
              <w:t>Ci</w:t>
            </w:r>
            <w:proofErr w:type="spellEnd"/>
            <w:r>
              <w:rPr>
                <w:rFonts w:cstheme="minorHAnsi"/>
                <w:sz w:val="20"/>
                <w:szCs w:val="20"/>
              </w:rPr>
              <w:t>/ml F-18 concentration the coefficient of variation of voxel values within a rectangular or circular region of at least 3 cm (side or diameter) must is no greater than 15% for all slices within the central 80% of the axial FOV.</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shd w:val="clear" w:color="auto" w:fill="D9D9D9" w:themeFill="background1" w:themeFillShade="D9"/>
          </w:tcPr>
          <w:p w:rsidR="00581654" w:rsidRPr="000A4527" w:rsidRDefault="00581654" w:rsidP="000A4527">
            <w:pPr>
              <w:ind w:left="360"/>
              <w:rPr>
                <w:rFonts w:cstheme="minorHAnsi"/>
                <w:sz w:val="20"/>
                <w:szCs w:val="20"/>
              </w:rPr>
            </w:pPr>
          </w:p>
        </w:tc>
        <w:tc>
          <w:tcPr>
            <w:tcW w:w="8100" w:type="dxa"/>
            <w:shd w:val="clear" w:color="auto" w:fill="D9D9D9" w:themeFill="background1" w:themeFillShade="D9"/>
          </w:tcPr>
          <w:p w:rsidR="00581654" w:rsidRPr="00581654" w:rsidRDefault="00581654" w:rsidP="00581654">
            <w:pPr>
              <w:jc w:val="center"/>
              <w:rPr>
                <w:rFonts w:cstheme="minorHAnsi"/>
                <w:b/>
                <w:i/>
                <w:sz w:val="20"/>
                <w:szCs w:val="20"/>
              </w:rPr>
            </w:pPr>
            <w:r w:rsidRPr="00581654">
              <w:rPr>
                <w:rFonts w:cstheme="minorHAnsi"/>
                <w:b/>
                <w:i/>
                <w:sz w:val="20"/>
                <w:szCs w:val="20"/>
              </w:rPr>
              <w:t>Specific Personnel Responsibilities</w:t>
            </w:r>
          </w:p>
        </w:tc>
        <w:tc>
          <w:tcPr>
            <w:tcW w:w="1260" w:type="dxa"/>
            <w:shd w:val="clear" w:color="auto" w:fill="D9D9D9" w:themeFill="background1" w:themeFillShade="D9"/>
          </w:tcPr>
          <w:p w:rsidR="00581654" w:rsidRPr="00A11624" w:rsidRDefault="00581654">
            <w:pPr>
              <w:rPr>
                <w:rFonts w:cstheme="minorHAnsi"/>
                <w:sz w:val="20"/>
                <w:szCs w:val="20"/>
              </w:rPr>
            </w:pP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rsidP="007538CA">
            <w:pPr>
              <w:rPr>
                <w:rFonts w:cstheme="minorHAnsi"/>
                <w:sz w:val="20"/>
                <w:szCs w:val="20"/>
              </w:rPr>
            </w:pPr>
            <w:r>
              <w:rPr>
                <w:rFonts w:cstheme="minorHAnsi"/>
                <w:sz w:val="20"/>
                <w:szCs w:val="20"/>
              </w:rPr>
              <w:t>A technologist or physicist assesses uniformity (within-plane and across slices) and compares with previous results.  Quarterly and following software upgrades.</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rsidP="007538CA">
            <w:pPr>
              <w:rPr>
                <w:rFonts w:cstheme="minorHAnsi"/>
                <w:sz w:val="20"/>
                <w:szCs w:val="20"/>
              </w:rPr>
            </w:pPr>
            <w:r>
              <w:rPr>
                <w:rFonts w:cstheme="minorHAnsi"/>
                <w:sz w:val="20"/>
                <w:szCs w:val="20"/>
              </w:rPr>
              <w:t>A technologist or physicist shall perform the Quantitative Calibration Accuracy test.   Quarterly</w:t>
            </w:r>
            <w:r>
              <w:rPr>
                <w:rFonts w:cstheme="minorHAnsi"/>
                <w:sz w:val="20"/>
                <w:szCs w:val="20"/>
              </w:rPr>
              <w:t xml:space="preserve"> and following software upgrades or changes to the dose calibrator</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A11624" w:rsidRDefault="00581654">
            <w:pPr>
              <w:rPr>
                <w:rFonts w:cstheme="minorHAnsi"/>
                <w:sz w:val="20"/>
                <w:szCs w:val="20"/>
              </w:rPr>
            </w:pPr>
            <w:r>
              <w:rPr>
                <w:rFonts w:cstheme="minorHAnsi"/>
                <w:sz w:val="20"/>
                <w:szCs w:val="20"/>
              </w:rPr>
              <w:t xml:space="preserve">A physicist shall perform and document </w:t>
            </w:r>
            <w:r w:rsidRPr="00A11624">
              <w:rPr>
                <w:sz w:val="20"/>
                <w:szCs w:val="20"/>
              </w:rPr>
              <w:t>performance of a quantitative assessment (using a phantom with differing size defined targets such as the ACR or NEMA IQ phantoms processed with routine image reconstruction protocols) for lesion resolution.</w:t>
            </w:r>
            <w:r>
              <w:rPr>
                <w:rFonts w:cstheme="minorHAnsi"/>
                <w:sz w:val="20"/>
                <w:szCs w:val="20"/>
              </w:rPr>
              <w:t xml:space="preserve">   Annually.</w:t>
            </w:r>
          </w:p>
        </w:tc>
        <w:tc>
          <w:tcPr>
            <w:tcW w:w="1260" w:type="dxa"/>
          </w:tcPr>
          <w:p w:rsidR="00581654" w:rsidRPr="00A11624" w:rsidRDefault="00581654">
            <w:pPr>
              <w:rPr>
                <w:rFonts w:cstheme="minorHAnsi"/>
                <w:sz w:val="20"/>
                <w:szCs w:val="20"/>
              </w:rPr>
            </w:pPr>
            <w:r>
              <w:rPr>
                <w:rFonts w:cstheme="minorHAnsi"/>
                <w:sz w:val="20"/>
                <w:szCs w:val="20"/>
              </w:rPr>
              <w:t>__ yes __no</w:t>
            </w:r>
          </w:p>
        </w:tc>
      </w:tr>
      <w:tr w:rsidR="00581654" w:rsidRPr="00A11624" w:rsidTr="00581654">
        <w:trPr>
          <w:cantSplit/>
        </w:trPr>
        <w:tc>
          <w:tcPr>
            <w:tcW w:w="774" w:type="dxa"/>
          </w:tcPr>
          <w:p w:rsidR="00581654" w:rsidRPr="00A11624" w:rsidRDefault="00581654" w:rsidP="00A50F96">
            <w:pPr>
              <w:pStyle w:val="ListParagraph"/>
              <w:numPr>
                <w:ilvl w:val="0"/>
                <w:numId w:val="2"/>
              </w:numPr>
              <w:rPr>
                <w:rFonts w:cstheme="minorHAnsi"/>
                <w:sz w:val="20"/>
                <w:szCs w:val="20"/>
              </w:rPr>
            </w:pPr>
          </w:p>
        </w:tc>
        <w:tc>
          <w:tcPr>
            <w:tcW w:w="8100" w:type="dxa"/>
          </w:tcPr>
          <w:p w:rsidR="00581654" w:rsidRPr="007538CA" w:rsidRDefault="00581654">
            <w:pPr>
              <w:rPr>
                <w:rFonts w:cstheme="minorHAnsi"/>
                <w:sz w:val="20"/>
                <w:szCs w:val="20"/>
              </w:rPr>
            </w:pPr>
            <w:r w:rsidRPr="007538CA">
              <w:rPr>
                <w:rFonts w:cstheme="minorHAnsi"/>
                <w:sz w:val="20"/>
                <w:szCs w:val="20"/>
              </w:rPr>
              <w:t xml:space="preserve">A physicist </w:t>
            </w:r>
            <w:r w:rsidRPr="007538CA">
              <w:rPr>
                <w:rFonts w:cstheme="minorHAnsi"/>
                <w:sz w:val="20"/>
                <w:szCs w:val="20"/>
              </w:rPr>
              <w:t>Shall perform qualitative or quantitative assessment of image noise in phantom images to be of consistent and acceptable quality.</w:t>
            </w:r>
            <w:r>
              <w:rPr>
                <w:rFonts w:cstheme="minorHAnsi"/>
                <w:sz w:val="20"/>
                <w:szCs w:val="20"/>
              </w:rPr>
              <w:t xml:space="preserve">   Annually.</w:t>
            </w:r>
          </w:p>
        </w:tc>
        <w:tc>
          <w:tcPr>
            <w:tcW w:w="1260" w:type="dxa"/>
          </w:tcPr>
          <w:p w:rsidR="00581654" w:rsidRPr="00A11624" w:rsidRDefault="00581654">
            <w:pPr>
              <w:rPr>
                <w:rFonts w:cstheme="minorHAnsi"/>
                <w:sz w:val="20"/>
                <w:szCs w:val="20"/>
              </w:rPr>
            </w:pPr>
            <w:r>
              <w:rPr>
                <w:rFonts w:cstheme="minorHAnsi"/>
                <w:sz w:val="20"/>
                <w:szCs w:val="20"/>
              </w:rPr>
              <w:t>__ yes __no</w:t>
            </w:r>
          </w:p>
        </w:tc>
      </w:tr>
    </w:tbl>
    <w:p w:rsidR="00515FF7" w:rsidRPr="00A11624" w:rsidRDefault="00515FF7">
      <w:pPr>
        <w:rPr>
          <w:rFonts w:cstheme="minorHAnsi"/>
          <w:sz w:val="20"/>
          <w:szCs w:val="20"/>
        </w:rPr>
      </w:pPr>
    </w:p>
    <w:sectPr w:rsidR="00515FF7" w:rsidRPr="00A11624" w:rsidSect="00581654">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173E"/>
    <w:multiLevelType w:val="hybridMultilevel"/>
    <w:tmpl w:val="94B4289E"/>
    <w:lvl w:ilvl="0" w:tplc="0409000F">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8B298A"/>
    <w:multiLevelType w:val="hybridMultilevel"/>
    <w:tmpl w:val="859E8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54854"/>
    <w:multiLevelType w:val="hybridMultilevel"/>
    <w:tmpl w:val="1D64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A3EEB"/>
    <w:multiLevelType w:val="hybridMultilevel"/>
    <w:tmpl w:val="1E1C742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96"/>
    <w:rsid w:val="00073A45"/>
    <w:rsid w:val="000A1149"/>
    <w:rsid w:val="000A4527"/>
    <w:rsid w:val="0012563F"/>
    <w:rsid w:val="002C1B3A"/>
    <w:rsid w:val="002F29B9"/>
    <w:rsid w:val="003D2883"/>
    <w:rsid w:val="003E3CE2"/>
    <w:rsid w:val="00450FA1"/>
    <w:rsid w:val="00456932"/>
    <w:rsid w:val="00515FF7"/>
    <w:rsid w:val="00581654"/>
    <w:rsid w:val="00686B2E"/>
    <w:rsid w:val="007538CA"/>
    <w:rsid w:val="00875035"/>
    <w:rsid w:val="008D533B"/>
    <w:rsid w:val="00960B90"/>
    <w:rsid w:val="009A3654"/>
    <w:rsid w:val="009D63A9"/>
    <w:rsid w:val="00A11624"/>
    <w:rsid w:val="00A50F96"/>
    <w:rsid w:val="00DF3E88"/>
    <w:rsid w:val="00F054F4"/>
    <w:rsid w:val="00F143D8"/>
    <w:rsid w:val="00F416AA"/>
    <w:rsid w:val="00FF23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0F96"/>
    <w:pPr>
      <w:ind w:left="720"/>
      <w:contextualSpacing/>
    </w:pPr>
  </w:style>
  <w:style w:type="paragraph" w:customStyle="1" w:styleId="ColorfulList-Accent11">
    <w:name w:val="Colorful List - Accent 11"/>
    <w:basedOn w:val="Normal"/>
    <w:uiPriority w:val="34"/>
    <w:qFormat/>
    <w:rsid w:val="009A3654"/>
    <w:pPr>
      <w:widowControl w:val="0"/>
      <w:autoSpaceDE w:val="0"/>
      <w:autoSpaceDN w:val="0"/>
      <w:adjustRightInd w:val="0"/>
      <w:spacing w:after="120" w:line="240" w:lineRule="auto"/>
      <w:ind w:left="720"/>
      <w:contextualSpacing/>
    </w:pPr>
    <w:rPr>
      <w:rFonts w:ascii="Calibri" w:eastAsia="Times New Roman" w:hAnsi="Calibri" w:cs="Calibri"/>
      <w:sz w:val="24"/>
      <w:szCs w:val="24"/>
    </w:rPr>
  </w:style>
  <w:style w:type="paragraph" w:styleId="PlainText">
    <w:name w:val="Plain Text"/>
    <w:basedOn w:val="Normal"/>
    <w:link w:val="PlainTextChar"/>
    <w:uiPriority w:val="99"/>
    <w:unhideWhenUsed/>
    <w:rsid w:val="009D63A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D63A9"/>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0F96"/>
    <w:pPr>
      <w:ind w:left="720"/>
      <w:contextualSpacing/>
    </w:pPr>
  </w:style>
  <w:style w:type="paragraph" w:customStyle="1" w:styleId="ColorfulList-Accent11">
    <w:name w:val="Colorful List - Accent 11"/>
    <w:basedOn w:val="Normal"/>
    <w:uiPriority w:val="34"/>
    <w:qFormat/>
    <w:rsid w:val="009A3654"/>
    <w:pPr>
      <w:widowControl w:val="0"/>
      <w:autoSpaceDE w:val="0"/>
      <w:autoSpaceDN w:val="0"/>
      <w:adjustRightInd w:val="0"/>
      <w:spacing w:after="120" w:line="240" w:lineRule="auto"/>
      <w:ind w:left="720"/>
      <w:contextualSpacing/>
    </w:pPr>
    <w:rPr>
      <w:rFonts w:ascii="Calibri" w:eastAsia="Times New Roman" w:hAnsi="Calibri" w:cs="Calibri"/>
      <w:sz w:val="24"/>
      <w:szCs w:val="24"/>
    </w:rPr>
  </w:style>
  <w:style w:type="paragraph" w:styleId="PlainText">
    <w:name w:val="Plain Text"/>
    <w:basedOn w:val="Normal"/>
    <w:link w:val="PlainTextChar"/>
    <w:uiPriority w:val="99"/>
    <w:unhideWhenUsed/>
    <w:rsid w:val="009D63A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D63A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Turkington</dc:creator>
  <cp:keywords/>
  <dc:description/>
  <cp:lastModifiedBy>Tim Turkington</cp:lastModifiedBy>
  <cp:revision>4</cp:revision>
  <dcterms:created xsi:type="dcterms:W3CDTF">2016-10-05T19:51:00Z</dcterms:created>
  <dcterms:modified xsi:type="dcterms:W3CDTF">2016-10-05T20:22:00Z</dcterms:modified>
</cp:coreProperties>
</file>