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EDD3" w14:textId="77777777" w:rsidR="00236319" w:rsidRDefault="00236319" w:rsidP="00236319">
      <w:bookmarkStart w:id="0" w:name="_Toc292350663"/>
      <w:r>
        <w:t>Draft March 7, 2016</w:t>
      </w:r>
    </w:p>
    <w:p w14:paraId="4541A63F" w14:textId="77777777" w:rsidR="00236319" w:rsidRDefault="00236319" w:rsidP="00236319">
      <w:pPr>
        <w:pStyle w:val="BodyText"/>
      </w:pPr>
    </w:p>
    <w:p w14:paraId="02939CA0" w14:textId="77777777" w:rsidR="00236319" w:rsidRDefault="00236319" w:rsidP="00236319">
      <w:pPr>
        <w:pStyle w:val="Heading2"/>
      </w:pPr>
      <w:bookmarkStart w:id="1" w:name="_Toc438038806"/>
      <w:r>
        <w:t xml:space="preserve">3.10. </w:t>
      </w:r>
      <w:r w:rsidRPr="00D92917">
        <w:t>Image Analysis</w:t>
      </w:r>
      <w:bookmarkEnd w:id="0"/>
      <w:bookmarkEnd w:id="1"/>
    </w:p>
    <w:p w14:paraId="73EC6284" w14:textId="77777777" w:rsidR="00236319" w:rsidRDefault="00236319" w:rsidP="00236319">
      <w:pPr>
        <w:pStyle w:val="BodyText"/>
      </w:pPr>
      <w:r>
        <w:t>This activity describes criteria and procedures related to producing quantitative measurements from the images that are necessary to reliably meet the Profile Claim.</w:t>
      </w:r>
    </w:p>
    <w:p w14:paraId="4E8C4B3B" w14:textId="77777777" w:rsidR="00236319" w:rsidRPr="00B466EA" w:rsidRDefault="00236319" w:rsidP="00236319">
      <w:pPr>
        <w:pStyle w:val="Heading3"/>
      </w:pPr>
      <w:bookmarkStart w:id="2" w:name="_Toc438038807"/>
      <w:r w:rsidRPr="00B466EA">
        <w:t>3.</w:t>
      </w:r>
      <w:r>
        <w:t>10</w:t>
      </w:r>
      <w:r w:rsidRPr="00B466EA">
        <w:t>.1 Discussion</w:t>
      </w:r>
      <w:bookmarkEnd w:id="2"/>
    </w:p>
    <w:p w14:paraId="772EE8C7" w14:textId="77777777" w:rsidR="00236319" w:rsidRPr="001748C5" w:rsidRDefault="00236319" w:rsidP="00236319">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5DA50C08" w14:textId="77777777" w:rsidR="00236319" w:rsidRPr="001748C5" w:rsidRDefault="00236319" w:rsidP="00236319">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1FCB84EC" w14:textId="77777777" w:rsidR="00236319" w:rsidRPr="001748C5" w:rsidRDefault="00236319" w:rsidP="00236319">
      <w:pPr>
        <w:pStyle w:val="BodyText"/>
      </w:pPr>
    </w:p>
    <w:p w14:paraId="5DB7086E" w14:textId="77777777" w:rsidR="00236319" w:rsidRPr="001748C5" w:rsidRDefault="00236319" w:rsidP="00236319">
      <w:pPr>
        <w:pStyle w:val="BodyText"/>
      </w:pPr>
      <w:r w:rsidRPr="001748C5">
        <w:t xml:space="preserve">Input Data: </w:t>
      </w:r>
    </w:p>
    <w:p w14:paraId="51CB54BA" w14:textId="77777777" w:rsidR="00236319" w:rsidRPr="001748C5" w:rsidRDefault="00236319" w:rsidP="00236319">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007E4B93" w14:textId="77777777" w:rsidR="00236319" w:rsidRPr="001748C5" w:rsidRDefault="00236319" w:rsidP="00236319">
      <w:pPr>
        <w:pStyle w:val="BodyText"/>
      </w:pPr>
    </w:p>
    <w:p w14:paraId="0825FE61" w14:textId="77777777" w:rsidR="00236319" w:rsidRPr="001748C5" w:rsidRDefault="00236319" w:rsidP="00236319">
      <w:pPr>
        <w:pStyle w:val="BodyText"/>
      </w:pPr>
      <w:r w:rsidRPr="001748C5">
        <w:t>Methods to be Used:</w:t>
      </w:r>
    </w:p>
    <w:p w14:paraId="349C76A7" w14:textId="77777777" w:rsidR="00236319" w:rsidRPr="001748C5" w:rsidRDefault="00236319" w:rsidP="00236319">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Uptake in the striatum (i.e., caudate and putamen) and background region (e.g., cerebellum or occipital region) is characterized by defining a region-of-interest (ROI). The </w:t>
      </w:r>
      <w:proofErr w:type="spellStart"/>
      <w:r w:rsidRPr="001748C5">
        <w:rPr>
          <w:rFonts w:asciiTheme="minorHAnsi" w:eastAsiaTheme="minorEastAsia" w:hAnsi="Calibri" w:cstheme="minorBidi"/>
          <w:color w:val="000000" w:themeColor="text1"/>
          <w:kern w:val="24"/>
          <w:sz w:val="24"/>
          <w:szCs w:val="24"/>
        </w:rPr>
        <w:t>measurand</w:t>
      </w:r>
      <w:proofErr w:type="spellEnd"/>
      <w:r w:rsidRPr="001748C5">
        <w:rPr>
          <w:rFonts w:asciiTheme="minorHAnsi" w:eastAsiaTheme="minorEastAsia" w:hAnsi="Calibri" w:cstheme="minorBidi"/>
          <w:color w:val="000000" w:themeColor="text1"/>
          <w:kern w:val="24"/>
          <w:sz w:val="24"/>
          <w:szCs w:val="24"/>
        </w:rPr>
        <w:t xml:space="preserve"> is the specific binding ratio and is determined from the following equation:</w:t>
      </w:r>
    </w:p>
    <w:p w14:paraId="7180B879" w14:textId="77777777" w:rsidR="00236319" w:rsidRPr="001748C5" w:rsidRDefault="00236319" w:rsidP="00236319">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742BE570" wp14:editId="530DE7F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7231ED4E" w14:textId="77777777" w:rsidR="00236319" w:rsidRPr="001748C5" w:rsidRDefault="00236319" w:rsidP="00236319">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where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putamen).</w:t>
      </w:r>
      <w:r>
        <w:rPr>
          <w:rFonts w:asciiTheme="minorHAnsi" w:eastAsiaTheme="minorEastAsia" w:hAnsi="Calibri" w:cstheme="minorBidi"/>
          <w:color w:val="000000" w:themeColor="text1"/>
          <w:kern w:val="24"/>
          <w:sz w:val="24"/>
          <w:szCs w:val="24"/>
        </w:rPr>
        <w:t xml:space="preserve">  This is equivalent to the concentration of counts associated with specific binding to the domain transporter in the target area divided </w:t>
      </w:r>
      <w:proofErr w:type="gramStart"/>
      <w:r>
        <w:rPr>
          <w:rFonts w:asciiTheme="minorHAnsi" w:eastAsiaTheme="minorEastAsia" w:hAnsi="Calibri" w:cstheme="minorBidi"/>
          <w:color w:val="000000" w:themeColor="text1"/>
          <w:kern w:val="24"/>
          <w:sz w:val="24"/>
          <w:szCs w:val="24"/>
        </w:rPr>
        <w:t>by  background</w:t>
      </w:r>
      <w:proofErr w:type="gramEnd"/>
      <w:r>
        <w:rPr>
          <w:rFonts w:asciiTheme="minorHAnsi" w:eastAsiaTheme="minorEastAsia" w:hAnsi="Calibri" w:cstheme="minorBidi"/>
          <w:color w:val="000000" w:themeColor="text1"/>
          <w:kern w:val="24"/>
          <w:sz w:val="24"/>
          <w:szCs w:val="24"/>
        </w:rPr>
        <w:t xml:space="preserve">. This binding ratio is an approximation </w:t>
      </w:r>
      <w:proofErr w:type="gramStart"/>
      <w:r>
        <w:rPr>
          <w:rFonts w:asciiTheme="minorHAnsi" w:eastAsiaTheme="minorEastAsia" w:hAnsi="Calibri" w:cstheme="minorBidi"/>
          <w:color w:val="000000" w:themeColor="text1"/>
          <w:kern w:val="24"/>
          <w:sz w:val="24"/>
          <w:szCs w:val="24"/>
        </w:rPr>
        <w:t>for  the</w:t>
      </w:r>
      <w:proofErr w:type="gramEnd"/>
      <w:r>
        <w:rPr>
          <w:rFonts w:asciiTheme="minorHAnsi" w:eastAsiaTheme="minorEastAsia" w:hAnsi="Calibri" w:cstheme="minorBidi"/>
          <w:color w:val="000000" w:themeColor="text1"/>
          <w:kern w:val="24"/>
          <w:sz w:val="24"/>
          <w:szCs w:val="24"/>
        </w:rPr>
        <w:t xml:space="preserve"> binding potential (</w:t>
      </w:r>
      <w:proofErr w:type="spellStart"/>
      <w:r>
        <w:rPr>
          <w:rFonts w:asciiTheme="minorHAnsi" w:eastAsiaTheme="minorEastAsia" w:hAnsi="Calibri" w:cstheme="minorBidi"/>
          <w:color w:val="000000" w:themeColor="text1"/>
          <w:kern w:val="24"/>
          <w:sz w:val="24"/>
          <w:szCs w:val="24"/>
        </w:rPr>
        <w:t>BPnd</w:t>
      </w:r>
      <w:proofErr w:type="spellEnd"/>
      <w:r>
        <w:rPr>
          <w:rFonts w:asciiTheme="minorHAnsi" w:eastAsiaTheme="minorEastAsia" w:hAnsi="Calibri" w:cstheme="minorBidi"/>
          <w:color w:val="000000" w:themeColor="text1"/>
          <w:kern w:val="24"/>
          <w:sz w:val="24"/>
          <w:szCs w:val="24"/>
        </w:rPr>
        <w:t xml:space="preserve">) when determined during the secular </w:t>
      </w:r>
      <w:r>
        <w:rPr>
          <w:rFonts w:asciiTheme="minorHAnsi" w:eastAsiaTheme="minorEastAsia" w:hAnsi="Calibri" w:cstheme="minorBidi"/>
          <w:color w:val="000000" w:themeColor="text1"/>
          <w:kern w:val="24"/>
          <w:sz w:val="24"/>
          <w:szCs w:val="24"/>
        </w:rPr>
        <w:lastRenderedPageBreak/>
        <w:t xml:space="preserve">equilibrium phase of radiotracer washout which occurs 3 to 4 hours post injection with 123I </w:t>
      </w:r>
      <w:proofErr w:type="spellStart"/>
      <w:r>
        <w:rPr>
          <w:rFonts w:asciiTheme="minorHAnsi" w:eastAsiaTheme="minorEastAsia" w:hAnsi="Calibri" w:cstheme="minorBidi"/>
          <w:color w:val="000000" w:themeColor="text1"/>
          <w:kern w:val="24"/>
          <w:sz w:val="24"/>
          <w:szCs w:val="24"/>
        </w:rPr>
        <w:t>Ioflupane</w:t>
      </w:r>
      <w:proofErr w:type="spellEnd"/>
      <w:r>
        <w:rPr>
          <w:rFonts w:asciiTheme="minorHAnsi" w:eastAsiaTheme="minorEastAsia" w:hAnsi="Calibri" w:cstheme="minorBidi"/>
          <w:color w:val="000000" w:themeColor="text1"/>
          <w:kern w:val="24"/>
          <w:sz w:val="24"/>
          <w:szCs w:val="24"/>
        </w:rPr>
        <w:t>.</w:t>
      </w:r>
    </w:p>
    <w:p w14:paraId="0069CECA" w14:textId="77777777" w:rsidR="00236319" w:rsidRPr="001748C5" w:rsidRDefault="00236319" w:rsidP="00236319">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762EBBD3" w14:textId="77777777" w:rsidR="00236319" w:rsidRPr="001748C5" w:rsidRDefault="00236319" w:rsidP="00236319">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striatal slices around it are averaged to generate a single slice image</w:t>
      </w:r>
      <w:r>
        <w:rPr>
          <w:rFonts w:asciiTheme="minorHAnsi" w:eastAsiaTheme="minorEastAsia" w:hAnsi="Calibri" w:cstheme="minorBidi"/>
          <w:color w:val="000000" w:themeColor="text1"/>
          <w:kern w:val="24"/>
          <w:sz w:val="24"/>
          <w:szCs w:val="24"/>
        </w:rPr>
        <w:t xml:space="preserve">, which represents about 75-80% of the axial extent of visualized </w:t>
      </w:r>
      <w:proofErr w:type="spellStart"/>
      <w:r>
        <w:rPr>
          <w:rFonts w:asciiTheme="minorHAnsi" w:eastAsiaTheme="minorEastAsia" w:hAnsi="Calibri" w:cstheme="minorBidi"/>
          <w:color w:val="000000" w:themeColor="text1"/>
          <w:kern w:val="24"/>
          <w:sz w:val="24"/>
          <w:szCs w:val="24"/>
        </w:rPr>
        <w:t>striata</w:t>
      </w:r>
      <w:proofErr w:type="spellEnd"/>
      <w:r>
        <w:rPr>
          <w:rFonts w:asciiTheme="minorHAnsi" w:eastAsiaTheme="minorEastAsia" w:hAnsi="Calibri" w:cstheme="minorBidi"/>
          <w:color w:val="000000" w:themeColor="text1"/>
          <w:kern w:val="24"/>
          <w:sz w:val="24"/>
          <w:szCs w:val="24"/>
        </w:rPr>
        <w:t>, dependent upon the reconstruction parameters</w:t>
      </w:r>
      <w:r w:rsidRPr="001748C5">
        <w:rPr>
          <w:rFonts w:asciiTheme="minorHAnsi" w:eastAsiaTheme="minorEastAsia" w:hAnsi="Calibri" w:cstheme="minorBidi"/>
          <w:color w:val="000000" w:themeColor="text1"/>
          <w:kern w:val="24"/>
          <w:sz w:val="24"/>
          <w:szCs w:val="24"/>
        </w:rPr>
        <w:t>.</w:t>
      </w:r>
    </w:p>
    <w:p w14:paraId="79E88071" w14:textId="77777777" w:rsidR="00236319" w:rsidRPr="001748C5" w:rsidRDefault="00236319" w:rsidP="00236319">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 (ROI) are then placed on the left and right caudate, the left and right putamen, and the occipital cortex (reference tissue). </w:t>
      </w:r>
      <w:r>
        <w:rPr>
          <w:rFonts w:asciiTheme="minorHAnsi" w:eastAsiaTheme="minorEastAsia" w:hAnsi="Calibri" w:cstheme="minorBidi"/>
          <w:color w:val="000000" w:themeColor="text1"/>
          <w:kern w:val="24"/>
          <w:sz w:val="24"/>
          <w:szCs w:val="24"/>
        </w:rPr>
        <w:t xml:space="preserve">The caudate </w:t>
      </w:r>
      <w:proofErr w:type="gramStart"/>
      <w:r>
        <w:rPr>
          <w:rFonts w:asciiTheme="minorHAnsi" w:eastAsiaTheme="minorEastAsia" w:hAnsi="Calibri" w:cstheme="minorBidi"/>
          <w:color w:val="000000" w:themeColor="text1"/>
          <w:kern w:val="24"/>
          <w:sz w:val="24"/>
          <w:szCs w:val="24"/>
        </w:rPr>
        <w:t>regions  should</w:t>
      </w:r>
      <w:proofErr w:type="gramEnd"/>
      <w:r>
        <w:rPr>
          <w:rFonts w:asciiTheme="minorHAnsi" w:eastAsiaTheme="minorEastAsia" w:hAnsi="Calibri" w:cstheme="minorBidi"/>
          <w:color w:val="000000" w:themeColor="text1"/>
          <w:kern w:val="24"/>
          <w:sz w:val="24"/>
          <w:szCs w:val="24"/>
        </w:rPr>
        <w:t xml:space="preserve"> sampled be  from the caudate head which is readily identified on the pathologic Parkinson’s disease image. The putamen </w:t>
      </w:r>
      <w:proofErr w:type="gramStart"/>
      <w:r>
        <w:rPr>
          <w:rFonts w:asciiTheme="minorHAnsi" w:eastAsiaTheme="minorEastAsia" w:hAnsi="Calibri" w:cstheme="minorBidi"/>
          <w:color w:val="000000" w:themeColor="text1"/>
          <w:kern w:val="24"/>
          <w:sz w:val="24"/>
          <w:szCs w:val="24"/>
        </w:rPr>
        <w:t>regions  are</w:t>
      </w:r>
      <w:proofErr w:type="gramEnd"/>
      <w:r>
        <w:rPr>
          <w:rFonts w:asciiTheme="minorHAnsi" w:eastAsiaTheme="minorEastAsia" w:hAnsi="Calibri" w:cstheme="minorBidi"/>
          <w:color w:val="000000" w:themeColor="text1"/>
          <w:kern w:val="24"/>
          <w:sz w:val="24"/>
          <w:szCs w:val="24"/>
        </w:rPr>
        <w:t xml:space="preserve"> usually sampled in the mid-</w:t>
      </w:r>
      <w:proofErr w:type="spellStart"/>
      <w:r>
        <w:rPr>
          <w:rFonts w:asciiTheme="minorHAnsi" w:eastAsiaTheme="minorEastAsia" w:hAnsi="Calibri" w:cstheme="minorBidi"/>
          <w:color w:val="000000" w:themeColor="text1"/>
          <w:kern w:val="24"/>
          <w:sz w:val="24"/>
          <w:szCs w:val="24"/>
        </w:rPr>
        <w:t>putamenal</w:t>
      </w:r>
      <w:proofErr w:type="spellEnd"/>
      <w:r>
        <w:rPr>
          <w:rFonts w:asciiTheme="minorHAnsi" w:eastAsiaTheme="minorEastAsia" w:hAnsi="Calibri" w:cstheme="minorBidi"/>
          <w:color w:val="000000" w:themeColor="text1"/>
          <w:kern w:val="24"/>
          <w:sz w:val="24"/>
          <w:szCs w:val="24"/>
        </w:rPr>
        <w:t xml:space="preserve">  area determined by the template.  This is a compromise between being too far </w:t>
      </w:r>
      <w:proofErr w:type="gramStart"/>
      <w:r>
        <w:rPr>
          <w:rFonts w:asciiTheme="minorHAnsi" w:eastAsiaTheme="minorEastAsia" w:hAnsi="Calibri" w:cstheme="minorBidi"/>
          <w:color w:val="000000" w:themeColor="text1"/>
          <w:kern w:val="24"/>
          <w:sz w:val="24"/>
          <w:szCs w:val="24"/>
        </w:rPr>
        <w:t>posteriorly  where</w:t>
      </w:r>
      <w:proofErr w:type="gramEnd"/>
      <w:r>
        <w:rPr>
          <w:rFonts w:asciiTheme="minorHAnsi" w:eastAsiaTheme="minorEastAsia" w:hAnsi="Calibri" w:cstheme="minorBidi"/>
          <w:color w:val="000000" w:themeColor="text1"/>
          <w:kern w:val="24"/>
          <w:sz w:val="24"/>
          <w:szCs w:val="24"/>
        </w:rPr>
        <w:t xml:space="preserve"> the putamen becomes very thin and irregular and sampling too anteriorly where counts from the adjacent caudate may contaminate the </w:t>
      </w:r>
      <w:proofErr w:type="spellStart"/>
      <w:r>
        <w:rPr>
          <w:rFonts w:asciiTheme="minorHAnsi" w:eastAsiaTheme="minorEastAsia" w:hAnsi="Calibri" w:cstheme="minorBidi"/>
          <w:color w:val="000000" w:themeColor="text1"/>
          <w:kern w:val="24"/>
          <w:sz w:val="24"/>
          <w:szCs w:val="24"/>
        </w:rPr>
        <w:t>putamenal</w:t>
      </w:r>
      <w:proofErr w:type="spellEnd"/>
      <w:r>
        <w:rPr>
          <w:rFonts w:asciiTheme="minorHAnsi" w:eastAsiaTheme="minorEastAsia" w:hAnsi="Calibri" w:cstheme="minorBidi"/>
          <w:color w:val="000000" w:themeColor="text1"/>
          <w:kern w:val="24"/>
          <w:sz w:val="24"/>
          <w:szCs w:val="24"/>
        </w:rPr>
        <w:t xml:space="preserve"> SBR. </w:t>
      </w:r>
      <w:r w:rsidRPr="001748C5">
        <w:rPr>
          <w:rFonts w:asciiTheme="minorHAnsi" w:eastAsiaTheme="minorEastAsia" w:hAnsi="Calibri" w:cstheme="minorBidi"/>
          <w:color w:val="000000" w:themeColor="text1"/>
          <w:kern w:val="24"/>
          <w:sz w:val="24"/>
          <w:szCs w:val="24"/>
        </w:rPr>
        <w:t xml:space="preserve">It should be clear which values belong to which striatal structures. This can be done by capturing DICOM coordinates along with ROI values or secondary screen capture of the ROI for identification. </w:t>
      </w:r>
    </w:p>
    <w:p w14:paraId="679461C4" w14:textId="77777777" w:rsidR="00236319" w:rsidRDefault="00236319" w:rsidP="00236319">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Alternative ROI sampling strategies have been successfully employed in the determination of </w:t>
      </w:r>
      <w:commentRangeStart w:id="3"/>
      <w:r>
        <w:rPr>
          <w:rFonts w:asciiTheme="minorHAnsi" w:eastAsiaTheme="minorEastAsia" w:hAnsi="Calibri" w:cstheme="minorBidi"/>
          <w:color w:val="000000" w:themeColor="text1"/>
          <w:kern w:val="24"/>
          <w:sz w:val="24"/>
          <w:szCs w:val="24"/>
        </w:rPr>
        <w:t>SBR</w:t>
      </w:r>
      <w:commentRangeEnd w:id="3"/>
      <w:r>
        <w:rPr>
          <w:rStyle w:val="CommentReference"/>
          <w:rFonts w:ascii="Calibri" w:eastAsia="Times New Roman" w:hAnsi="Calibri"/>
          <w:lang w:val="x-none" w:eastAsia="x-none"/>
        </w:rPr>
        <w:commentReference w:id="3"/>
      </w:r>
      <w:r>
        <w:rPr>
          <w:rFonts w:asciiTheme="minorHAnsi" w:eastAsiaTheme="minorEastAsia" w:hAnsi="Calibri" w:cstheme="minorBidi"/>
          <w:color w:val="000000" w:themeColor="text1"/>
          <w:kern w:val="24"/>
          <w:sz w:val="24"/>
          <w:szCs w:val="24"/>
        </w:rPr>
        <w:t xml:space="preserve">.  Specifically, larger regions encompassing the full anatomical extent of left and right caudate and putamen are placed on the </w:t>
      </w:r>
      <w:proofErr w:type="spellStart"/>
      <w:r>
        <w:rPr>
          <w:rFonts w:asciiTheme="minorHAnsi" w:eastAsiaTheme="minorEastAsia" w:hAnsi="Calibri" w:cstheme="minorBidi"/>
          <w:color w:val="000000" w:themeColor="text1"/>
          <w:kern w:val="24"/>
          <w:sz w:val="24"/>
          <w:szCs w:val="24"/>
        </w:rPr>
        <w:t>ioflupane</w:t>
      </w:r>
      <w:proofErr w:type="spellEnd"/>
      <w:r>
        <w:rPr>
          <w:rFonts w:asciiTheme="minorHAnsi" w:eastAsiaTheme="minorEastAsia" w:hAnsi="Calibri" w:cstheme="minorBidi"/>
          <w:color w:val="000000" w:themeColor="text1"/>
          <w:kern w:val="24"/>
          <w:sz w:val="24"/>
          <w:szCs w:val="24"/>
        </w:rPr>
        <w:t xml:space="preserve"> SPECT image spatially normalized to a common SPECT template. This has the advantage of greater count statistics based on the larger number of voxels sampled. The disadvantage lies in the lower degree of spatial information regarding DAT signal loss within the striatal substructures, </w:t>
      </w:r>
      <w:proofErr w:type="spellStart"/>
      <w:r>
        <w:rPr>
          <w:rFonts w:asciiTheme="minorHAnsi" w:eastAsiaTheme="minorEastAsia" w:hAnsi="Calibri" w:cstheme="minorBidi"/>
          <w:color w:val="000000" w:themeColor="text1"/>
          <w:kern w:val="24"/>
          <w:sz w:val="24"/>
          <w:szCs w:val="24"/>
        </w:rPr>
        <w:t>esp</w:t>
      </w:r>
      <w:proofErr w:type="spellEnd"/>
      <w:r>
        <w:rPr>
          <w:rFonts w:asciiTheme="minorHAnsi" w:eastAsiaTheme="minorEastAsia" w:hAnsi="Calibri" w:cstheme="minorBidi"/>
          <w:color w:val="000000" w:themeColor="text1"/>
          <w:kern w:val="24"/>
          <w:sz w:val="24"/>
          <w:szCs w:val="24"/>
        </w:rPr>
        <w:t xml:space="preserve"> the putamen, where the extent of DAT reduction follows a topographic pattern of change. By averaging all </w:t>
      </w:r>
      <w:proofErr w:type="spellStart"/>
      <w:r>
        <w:rPr>
          <w:rFonts w:asciiTheme="minorHAnsi" w:eastAsiaTheme="minorEastAsia" w:hAnsi="Calibri" w:cstheme="minorBidi"/>
          <w:color w:val="000000" w:themeColor="text1"/>
          <w:kern w:val="24"/>
          <w:sz w:val="24"/>
          <w:szCs w:val="24"/>
        </w:rPr>
        <w:t>putamenal</w:t>
      </w:r>
      <w:proofErr w:type="spellEnd"/>
      <w:r>
        <w:rPr>
          <w:rFonts w:asciiTheme="minorHAnsi" w:eastAsiaTheme="minorEastAsia" w:hAnsi="Calibri" w:cstheme="minorBidi"/>
          <w:color w:val="000000" w:themeColor="text1"/>
          <w:kern w:val="24"/>
          <w:sz w:val="24"/>
          <w:szCs w:val="24"/>
        </w:rPr>
        <w:t xml:space="preserve"> regions in the context of a large single ROI sample, both more and less affected voxels are counted, resulting in less overall reduction relative to the smaller ROI approach outlined </w:t>
      </w:r>
      <w:commentRangeStart w:id="4"/>
      <w:r>
        <w:rPr>
          <w:rFonts w:asciiTheme="minorHAnsi" w:eastAsiaTheme="minorEastAsia" w:hAnsi="Calibri" w:cstheme="minorBidi"/>
          <w:color w:val="000000" w:themeColor="text1"/>
          <w:kern w:val="24"/>
          <w:sz w:val="24"/>
          <w:szCs w:val="24"/>
        </w:rPr>
        <w:t>above</w:t>
      </w:r>
      <w:commentRangeEnd w:id="4"/>
      <w:r>
        <w:rPr>
          <w:rStyle w:val="CommentReference"/>
          <w:rFonts w:ascii="Calibri" w:eastAsia="Times New Roman" w:hAnsi="Calibri"/>
          <w:lang w:val="x-none" w:eastAsia="x-none"/>
        </w:rPr>
        <w:commentReference w:id="4"/>
      </w:r>
      <w:r>
        <w:rPr>
          <w:rFonts w:asciiTheme="minorHAnsi" w:eastAsiaTheme="minorEastAsia" w:hAnsi="Calibri" w:cstheme="minorBidi"/>
          <w:color w:val="000000" w:themeColor="text1"/>
          <w:kern w:val="24"/>
          <w:sz w:val="24"/>
          <w:szCs w:val="24"/>
        </w:rPr>
        <w:t>.</w:t>
      </w:r>
    </w:p>
    <w:p w14:paraId="427779A4" w14:textId="77777777" w:rsidR="00236319" w:rsidRDefault="00236319" w:rsidP="00236319">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7C824F75" w14:textId="77777777" w:rsidR="00236319" w:rsidRDefault="00236319" w:rsidP="00236319">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Specific binding </w:t>
      </w:r>
      <w:proofErr w:type="gramStart"/>
      <w:r>
        <w:rPr>
          <w:rFonts w:asciiTheme="minorHAnsi" w:eastAsiaTheme="minorEastAsia" w:hAnsi="Calibri" w:cstheme="minorBidi"/>
          <w:color w:val="000000" w:themeColor="text1"/>
          <w:kern w:val="24"/>
          <w:sz w:val="24"/>
          <w:szCs w:val="24"/>
        </w:rPr>
        <w:t>ratios  are</w:t>
      </w:r>
      <w:proofErr w:type="gramEnd"/>
      <w:r>
        <w:rPr>
          <w:rFonts w:asciiTheme="minorHAnsi" w:eastAsiaTheme="minorEastAsia" w:hAnsi="Calibri" w:cstheme="minorBidi"/>
          <w:color w:val="000000" w:themeColor="text1"/>
          <w:kern w:val="24"/>
          <w:sz w:val="24"/>
          <w:szCs w:val="24"/>
        </w:rPr>
        <w:t xml:space="preserve"> usually described as ipsilateral and contralateral caudate and putamen  with reference to the side of the patient’s  predominant symptoms. In addition, SBRs need to be age adjusted for proper assessment of cut-off values for abnormal DAT signal reduction. </w:t>
      </w:r>
    </w:p>
    <w:p w14:paraId="2E2F3544" w14:textId="77777777" w:rsidR="00236319" w:rsidRPr="001748C5" w:rsidRDefault="00236319" w:rsidP="00236319">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641B2B9F" w14:textId="77777777" w:rsidR="00236319" w:rsidRPr="001748C5" w:rsidRDefault="00236319" w:rsidP="00236319">
      <w:pPr>
        <w:pStyle w:val="BodyText"/>
      </w:pPr>
      <w:r w:rsidRPr="001748C5">
        <w:t>Required characteristics of resulting data:</w:t>
      </w:r>
    </w:p>
    <w:p w14:paraId="01655C44" w14:textId="77777777" w:rsidR="00236319" w:rsidRPr="001748C5" w:rsidRDefault="00236319" w:rsidP="00236319">
      <w:pPr>
        <w:pStyle w:val="BodyText"/>
      </w:pPr>
      <w:r w:rsidRPr="001748C5">
        <w:t xml:space="preserve">The specific trial protocol shall prospectively define the SBR parameter that is required for the striatum and the caudate and putamen, specifically. Some studies may also compare different metrics (e.g., right to left asymmetry </w:t>
      </w:r>
      <w:r>
        <w:t xml:space="preserve">indices </w:t>
      </w:r>
      <w:r w:rsidRPr="001748C5">
        <w:t>or caudate to putamen ratio) and will require recording multiple parameters. SBR measures (and the analysis tools used to obtain them, including software version) shall be used consistently across all subjects and across all sequential SBR measurements.</w:t>
      </w:r>
    </w:p>
    <w:p w14:paraId="28914697" w14:textId="28FC7D5A" w:rsidR="00236319" w:rsidRPr="001748C5" w:rsidRDefault="00236319" w:rsidP="00236319">
      <w:pPr>
        <w:pStyle w:val="BodyText"/>
      </w:pPr>
      <w:r w:rsidRPr="001748C5">
        <w:t>SBR’s are intended as a measure of relative uptake and in that sense, can be regarded as dimensionless (</w:t>
      </w:r>
      <w:proofErr w:type="spellStart"/>
      <w:r w:rsidRPr="001748C5">
        <w:t>unitless</w:t>
      </w:r>
      <w:proofErr w:type="spellEnd"/>
      <w:r w:rsidRPr="001748C5">
        <w:t>)</w:t>
      </w:r>
      <w:r w:rsidR="00A70A09">
        <w:t>.</w:t>
      </w:r>
    </w:p>
    <w:p w14:paraId="684DD6EF" w14:textId="77777777" w:rsidR="00236319" w:rsidRPr="001748C5" w:rsidRDefault="00236319" w:rsidP="00236319">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0D3B907E" w14:textId="2BF00745" w:rsidR="00236319" w:rsidRPr="001748C5" w:rsidRDefault="00236319" w:rsidP="00236319">
      <w:pPr>
        <w:pStyle w:val="BodyText"/>
      </w:pPr>
      <w:r w:rsidRPr="001748C5">
        <w:t xml:space="preserve">The analysis software should generate a </w:t>
      </w:r>
      <w:proofErr w:type="gramStart"/>
      <w:r w:rsidRPr="001748C5">
        <w:t>report</w:t>
      </w:r>
      <w:r w:rsidR="00A70A09">
        <w:t xml:space="preserve">  which</w:t>
      </w:r>
      <w:proofErr w:type="gramEnd"/>
      <w:r w:rsidR="00A70A09">
        <w:t xml:space="preserve"> indicates regional striatal SBR  values corrected for age.  This may be achieved by applying a </w:t>
      </w:r>
      <w:proofErr w:type="gramStart"/>
      <w:r w:rsidR="00A70A09">
        <w:t>correction  based</w:t>
      </w:r>
      <w:proofErr w:type="gramEnd"/>
      <w:r w:rsidR="00A70A09">
        <w:t xml:space="preserve"> on a linear regression line determined from my cr</w:t>
      </w:r>
      <w:r w:rsidR="009F1A03">
        <w:t>oss-sectional study of healthy c</w:t>
      </w:r>
      <w:r w:rsidR="00A70A09">
        <w:t xml:space="preserve">ontrols over an appropriate age span.  </w:t>
      </w:r>
      <w:proofErr w:type="gramStart"/>
      <w:r w:rsidR="00A70A09">
        <w:t>Some  programs</w:t>
      </w:r>
      <w:proofErr w:type="gramEnd"/>
      <w:r w:rsidR="00A70A09">
        <w:t xml:space="preserve"> report out an  age expected percent uptake for different regions.</w:t>
      </w:r>
      <w:r w:rsidR="009F1A03">
        <w:t xml:space="preserve">  Normative DAT databases are you available via the European Association of nuclear medicine (</w:t>
      </w:r>
      <w:proofErr w:type="gramStart"/>
      <w:r w:rsidR="009F1A03">
        <w:t>EANM)  or</w:t>
      </w:r>
      <w:proofErr w:type="gramEnd"/>
      <w:r w:rsidR="009F1A03">
        <w:t xml:space="preserve"> the Parkinson’s progression marker initiative (PPMI)  hello different acquisition  parameters and region of interest sampling strategy influence SBR.</w:t>
      </w:r>
    </w:p>
    <w:p w14:paraId="4122DEBB" w14:textId="77777777" w:rsidR="00236319" w:rsidRDefault="00236319" w:rsidP="00236319">
      <w:pPr>
        <w:pStyle w:val="Heading3"/>
      </w:pPr>
      <w:bookmarkStart w:id="5" w:name="_Toc438038808"/>
      <w:r>
        <w:t>3.10.2</w:t>
      </w:r>
      <w:r w:rsidRPr="00B466EA">
        <w:t xml:space="preserve"> </w:t>
      </w:r>
      <w:r>
        <w:t>Specification</w:t>
      </w:r>
      <w:bookmarkEnd w:id="5"/>
    </w:p>
    <w:p w14:paraId="71C7852C" w14:textId="77777777" w:rsidR="00236319" w:rsidRDefault="00236319" w:rsidP="00236319">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36319" w:rsidRPr="00FC77FF" w14:paraId="1E51482E" w14:textId="77777777" w:rsidTr="00C446D4">
        <w:trPr>
          <w:tblHeader/>
          <w:tblCellSpacing w:w="7" w:type="dxa"/>
        </w:trPr>
        <w:tc>
          <w:tcPr>
            <w:tcW w:w="1608" w:type="dxa"/>
            <w:shd w:val="clear" w:color="auto" w:fill="D9D9D9" w:themeFill="background1" w:themeFillShade="D9"/>
            <w:vAlign w:val="center"/>
          </w:tcPr>
          <w:p w14:paraId="0E4CCFA4" w14:textId="77777777" w:rsidR="00236319" w:rsidRPr="005613AB" w:rsidRDefault="00236319" w:rsidP="00C446D4">
            <w:pPr>
              <w:rPr>
                <w:b/>
              </w:rPr>
            </w:pPr>
            <w:r w:rsidRPr="005613AB">
              <w:rPr>
                <w:b/>
              </w:rPr>
              <w:t>Parameter</w:t>
            </w:r>
          </w:p>
        </w:tc>
        <w:tc>
          <w:tcPr>
            <w:tcW w:w="1641" w:type="dxa"/>
            <w:shd w:val="clear" w:color="auto" w:fill="D9D9D9" w:themeFill="background1" w:themeFillShade="D9"/>
          </w:tcPr>
          <w:p w14:paraId="33C6745C" w14:textId="77777777" w:rsidR="00236319" w:rsidRPr="005613AB" w:rsidRDefault="00236319" w:rsidP="00C446D4">
            <w:pPr>
              <w:rPr>
                <w:b/>
              </w:rPr>
            </w:pPr>
            <w:r w:rsidRPr="005613AB">
              <w:rPr>
                <w:b/>
              </w:rPr>
              <w:t>Actor</w:t>
            </w:r>
          </w:p>
        </w:tc>
        <w:tc>
          <w:tcPr>
            <w:tcW w:w="7303" w:type="dxa"/>
            <w:shd w:val="clear" w:color="auto" w:fill="D9D9D9" w:themeFill="background1" w:themeFillShade="D9"/>
            <w:vAlign w:val="center"/>
          </w:tcPr>
          <w:p w14:paraId="5F6AC696" w14:textId="77777777" w:rsidR="00236319" w:rsidRPr="00B975A9" w:rsidRDefault="00236319" w:rsidP="00C446D4">
            <w:pPr>
              <w:rPr>
                <w:b/>
              </w:rPr>
            </w:pPr>
            <w:r w:rsidRPr="00B975A9">
              <w:rPr>
                <w:b/>
              </w:rPr>
              <w:t>Requirement</w:t>
            </w:r>
          </w:p>
        </w:tc>
      </w:tr>
      <w:tr w:rsidR="00236319" w:rsidRPr="00FC77FF" w14:paraId="553B2C66" w14:textId="77777777" w:rsidTr="00C446D4">
        <w:trPr>
          <w:tblCellSpacing w:w="7" w:type="dxa"/>
        </w:trPr>
        <w:tc>
          <w:tcPr>
            <w:tcW w:w="1608" w:type="dxa"/>
            <w:vMerge w:val="restart"/>
            <w:vAlign w:val="center"/>
          </w:tcPr>
          <w:p w14:paraId="2F4ABE77" w14:textId="77777777" w:rsidR="00236319" w:rsidRPr="00FC77FF" w:rsidRDefault="00236319" w:rsidP="00C446D4">
            <w:r w:rsidRPr="001748C5">
              <w:t>Specific Binding Ratio</w:t>
            </w:r>
          </w:p>
        </w:tc>
        <w:tc>
          <w:tcPr>
            <w:tcW w:w="1641" w:type="dxa"/>
          </w:tcPr>
          <w:p w14:paraId="6179A615" w14:textId="77777777" w:rsidR="00236319" w:rsidRPr="00FC77FF" w:rsidRDefault="00236319" w:rsidP="00C446D4">
            <w:r>
              <w:t>Image Analyst</w:t>
            </w:r>
          </w:p>
        </w:tc>
        <w:tc>
          <w:tcPr>
            <w:tcW w:w="7303" w:type="dxa"/>
            <w:vAlign w:val="center"/>
          </w:tcPr>
          <w:p w14:paraId="12E55F14" w14:textId="77777777" w:rsidR="00236319" w:rsidRPr="001748C5" w:rsidRDefault="00236319" w:rsidP="00C446D4">
            <w:r w:rsidRPr="001748C5">
              <w:t>Analysis Workstation</w:t>
            </w:r>
          </w:p>
          <w:p w14:paraId="047D47E1" w14:textId="77777777" w:rsidR="00236319" w:rsidRPr="00FC77FF" w:rsidRDefault="00236319" w:rsidP="00C446D4">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236319" w:rsidRPr="00FC77FF" w14:paraId="050B4D2F" w14:textId="77777777" w:rsidTr="00C446D4">
        <w:trPr>
          <w:tblCellSpacing w:w="7" w:type="dxa"/>
        </w:trPr>
        <w:tc>
          <w:tcPr>
            <w:tcW w:w="1608" w:type="dxa"/>
            <w:vMerge/>
            <w:vAlign w:val="center"/>
          </w:tcPr>
          <w:p w14:paraId="5A231E98" w14:textId="77777777" w:rsidR="00236319" w:rsidRPr="00FC77FF" w:rsidRDefault="00236319" w:rsidP="00C446D4"/>
        </w:tc>
        <w:tc>
          <w:tcPr>
            <w:tcW w:w="1641" w:type="dxa"/>
          </w:tcPr>
          <w:p w14:paraId="10598962" w14:textId="77777777" w:rsidR="00236319" w:rsidRPr="00FC77FF" w:rsidRDefault="00236319" w:rsidP="00C446D4"/>
        </w:tc>
        <w:tc>
          <w:tcPr>
            <w:tcW w:w="7303" w:type="dxa"/>
            <w:vAlign w:val="center"/>
          </w:tcPr>
          <w:p w14:paraId="55F8381C" w14:textId="77777777" w:rsidR="00236319" w:rsidRPr="001748C5" w:rsidRDefault="00236319" w:rsidP="00C446D4">
            <w:r w:rsidRPr="001748C5">
              <w:t>Post processed image for data analysis</w:t>
            </w:r>
          </w:p>
          <w:p w14:paraId="2E8D7D43" w14:textId="77777777" w:rsidR="00236319" w:rsidRPr="00FC77FF" w:rsidDel="00210341" w:rsidRDefault="00236319" w:rsidP="00C446D4">
            <w:r w:rsidRPr="001748C5">
              <w:t xml:space="preserve">Image for data analysis shall be reconstructed in accordance with parameters as described in Section 3.7. If needed image is spatially </w:t>
            </w:r>
            <w:commentRangeStart w:id="6"/>
            <w:r w:rsidRPr="001748C5">
              <w:t>normalized</w:t>
            </w:r>
            <w:commentRangeEnd w:id="6"/>
            <w:r w:rsidRPr="001748C5">
              <w:rPr>
                <w:rStyle w:val="CommentReference"/>
                <w:lang w:val="x-none" w:eastAsia="x-none"/>
              </w:rPr>
              <w:commentReference w:id="6"/>
            </w:r>
            <w:r w:rsidRPr="001748C5">
              <w:t xml:space="preserve">. The </w:t>
            </w:r>
            <w:proofErr w:type="spellStart"/>
            <w:r w:rsidRPr="001748C5">
              <w:t>transaxial</w:t>
            </w:r>
            <w:proofErr w:type="spellEnd"/>
            <w:r w:rsidRPr="001748C5">
              <w:t xml:space="preserve"> slice with the highest striatal uptake is identified and the 8 hottest striatal slices around it are averaged to generate a single slice image</w:t>
            </w:r>
          </w:p>
        </w:tc>
      </w:tr>
      <w:tr w:rsidR="00236319" w:rsidRPr="00FC77FF" w14:paraId="78C43096" w14:textId="77777777" w:rsidTr="00C446D4">
        <w:trPr>
          <w:tblCellSpacing w:w="7" w:type="dxa"/>
        </w:trPr>
        <w:tc>
          <w:tcPr>
            <w:tcW w:w="1608" w:type="dxa"/>
            <w:vAlign w:val="center"/>
          </w:tcPr>
          <w:p w14:paraId="1D9CAF63" w14:textId="77777777" w:rsidR="00236319" w:rsidRPr="00FC77FF" w:rsidRDefault="00236319" w:rsidP="00C446D4"/>
        </w:tc>
        <w:tc>
          <w:tcPr>
            <w:tcW w:w="1641" w:type="dxa"/>
          </w:tcPr>
          <w:p w14:paraId="1F011BFE" w14:textId="77777777" w:rsidR="00236319" w:rsidRPr="00FC77FF" w:rsidRDefault="00236319" w:rsidP="00C446D4"/>
        </w:tc>
        <w:tc>
          <w:tcPr>
            <w:tcW w:w="7303" w:type="dxa"/>
            <w:vAlign w:val="center"/>
          </w:tcPr>
          <w:p w14:paraId="089BAD81" w14:textId="77777777" w:rsidR="00236319" w:rsidRPr="001748C5" w:rsidRDefault="00236319" w:rsidP="00C446D4">
            <w:r w:rsidRPr="001748C5">
              <w:t>ROI software analysis tools</w:t>
            </w:r>
          </w:p>
          <w:p w14:paraId="575BD340" w14:textId="77777777" w:rsidR="00236319" w:rsidRPr="00FC77FF" w:rsidRDefault="00236319" w:rsidP="00C446D4">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Need to decide if ROIs are drawn by hand or automatically. Also need to decide if image based partial volume correction will be used. Finally, do we make a statement about if MRI is available it can be used for striatum (i.e., caudate and putamen) </w:t>
            </w:r>
            <w:commentRangeStart w:id="7"/>
            <w:commentRangeStart w:id="8"/>
            <w:commentRangeStart w:id="9"/>
            <w:r w:rsidRPr="001748C5">
              <w:rPr>
                <w:color w:val="0000FF"/>
              </w:rPr>
              <w:t>definition</w:t>
            </w:r>
            <w:commentRangeEnd w:id="7"/>
            <w:r w:rsidRPr="001748C5">
              <w:rPr>
                <w:rStyle w:val="CommentReference"/>
                <w:lang w:val="x-none" w:eastAsia="x-none"/>
              </w:rPr>
              <w:commentReference w:id="7"/>
            </w:r>
            <w:commentRangeEnd w:id="8"/>
            <w:r w:rsidRPr="001748C5">
              <w:rPr>
                <w:rStyle w:val="CommentReference"/>
                <w:lang w:val="x-none" w:eastAsia="x-none"/>
              </w:rPr>
              <w:commentReference w:id="8"/>
            </w:r>
            <w:commentRangeEnd w:id="9"/>
            <w:r w:rsidRPr="001748C5">
              <w:rPr>
                <w:rStyle w:val="CommentReference"/>
                <w:lang w:val="x-none" w:eastAsia="x-none"/>
              </w:rPr>
              <w:commentReference w:id="9"/>
            </w:r>
            <w:r w:rsidRPr="001748C5">
              <w:rPr>
                <w:color w:val="0000FF"/>
              </w:rPr>
              <w:t>.</w:t>
            </w:r>
          </w:p>
        </w:tc>
      </w:tr>
      <w:tr w:rsidR="00236319" w:rsidRPr="00FC77FF" w14:paraId="3A36BE07" w14:textId="77777777" w:rsidTr="00C446D4">
        <w:trPr>
          <w:tblCellSpacing w:w="7" w:type="dxa"/>
        </w:trPr>
        <w:tc>
          <w:tcPr>
            <w:tcW w:w="1608" w:type="dxa"/>
            <w:vAlign w:val="center"/>
          </w:tcPr>
          <w:p w14:paraId="1988F1BE" w14:textId="77777777" w:rsidR="00236319" w:rsidRPr="00FC77FF" w:rsidRDefault="00236319" w:rsidP="00C446D4"/>
        </w:tc>
        <w:tc>
          <w:tcPr>
            <w:tcW w:w="1641" w:type="dxa"/>
          </w:tcPr>
          <w:p w14:paraId="35AEB441" w14:textId="77777777" w:rsidR="00236319" w:rsidRPr="00FC77FF" w:rsidRDefault="00236319" w:rsidP="00C446D4"/>
        </w:tc>
        <w:tc>
          <w:tcPr>
            <w:tcW w:w="7303" w:type="dxa"/>
            <w:vAlign w:val="center"/>
          </w:tcPr>
          <w:p w14:paraId="0A45FE3A" w14:textId="77777777" w:rsidR="00236319" w:rsidRPr="001748C5" w:rsidRDefault="00236319" w:rsidP="00C446D4">
            <w:r w:rsidRPr="001748C5">
              <w:t>Age matched normal database</w:t>
            </w:r>
            <w:r>
              <w:t xml:space="preserve"> is essential to interpret the quantitative outcome</w:t>
            </w:r>
          </w:p>
        </w:tc>
      </w:tr>
    </w:tbl>
    <w:p w14:paraId="6124ECE8" w14:textId="77777777" w:rsidR="00FE4906" w:rsidRDefault="00FE4906">
      <w:bookmarkStart w:id="10" w:name="_GoBack"/>
      <w:bookmarkEnd w:id="10"/>
    </w:p>
    <w:sectPr w:rsidR="00FE4906" w:rsidSect="00E650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ohn Seibyl" w:date="2016-03-07T07:53:00Z" w:initials="JS">
    <w:p w14:paraId="57897068" w14:textId="77777777" w:rsidR="00236319" w:rsidRPr="008C65AA" w:rsidRDefault="00236319" w:rsidP="00236319">
      <w:pPr>
        <w:pStyle w:val="CommentText"/>
        <w:rPr>
          <w:lang w:val="en-US"/>
        </w:rPr>
      </w:pPr>
      <w:r>
        <w:rPr>
          <w:rStyle w:val="CommentReference"/>
        </w:rPr>
        <w:annotationRef/>
      </w:r>
      <w:r>
        <w:rPr>
          <w:lang w:val="en-US"/>
        </w:rPr>
        <w:t>Should we recommend a second ROI approach given it is the main method in the commercial analysis packages?</w:t>
      </w:r>
    </w:p>
  </w:comment>
  <w:comment w:id="4" w:author="John Seibyl" w:date="2016-03-07T07:53:00Z" w:initials="JS">
    <w:p w14:paraId="4EAA3905" w14:textId="77777777" w:rsidR="00236319" w:rsidRPr="006A7EEE" w:rsidRDefault="00236319" w:rsidP="00236319">
      <w:pPr>
        <w:pStyle w:val="CommentText"/>
        <w:rPr>
          <w:lang w:val="en-US"/>
        </w:rPr>
      </w:pPr>
      <w:r>
        <w:rPr>
          <w:rStyle w:val="CommentReference"/>
        </w:rPr>
        <w:annotationRef/>
      </w:r>
      <w:r>
        <w:rPr>
          <w:lang w:val="en-US"/>
        </w:rPr>
        <w:t>Should this discussion be excluded?</w:t>
      </w:r>
    </w:p>
  </w:comment>
  <w:comment w:id="6" w:author="John Seibyl" w:date="2016-02-17T22:26:00Z" w:initials="JS">
    <w:p w14:paraId="735A5C97" w14:textId="77777777" w:rsidR="00236319" w:rsidRDefault="00236319" w:rsidP="00236319">
      <w:pPr>
        <w:pStyle w:val="CommentText"/>
      </w:pPr>
      <w:r>
        <w:rPr>
          <w:rStyle w:val="CommentReference"/>
        </w:rPr>
        <w:annotationRef/>
      </w:r>
      <w:r>
        <w:t xml:space="preserve">grey box outside </w:t>
      </w:r>
    </w:p>
  </w:comment>
  <w:comment w:id="7" w:author="John Seibyl" w:date="2016-02-17T22:26:00Z" w:initials="JS">
    <w:p w14:paraId="6C9EFCA5" w14:textId="77777777" w:rsidR="00236319" w:rsidRDefault="00236319" w:rsidP="00236319">
      <w:pPr>
        <w:pStyle w:val="CommentText"/>
      </w:pPr>
      <w:r>
        <w:rPr>
          <w:rStyle w:val="CommentReference"/>
        </w:rPr>
        <w:annotationRef/>
      </w:r>
      <w:r>
        <w:t xml:space="preserve">digital reference outcome </w:t>
      </w:r>
    </w:p>
  </w:comment>
  <w:comment w:id="8" w:author="John Seibyl" w:date="2016-02-17T22:26:00Z" w:initials="JS">
    <w:p w14:paraId="2A4F4672" w14:textId="77777777" w:rsidR="00236319" w:rsidRDefault="00236319" w:rsidP="00236319">
      <w:pPr>
        <w:pStyle w:val="CommentText"/>
      </w:pPr>
      <w:r>
        <w:rPr>
          <w:rStyle w:val="CommentReference"/>
        </w:rPr>
        <w:annotationRef/>
      </w:r>
    </w:p>
  </w:comment>
  <w:comment w:id="9" w:author="John Seibyl" w:date="2016-02-17T22:26:00Z" w:initials="JS">
    <w:p w14:paraId="3E4E4AAC" w14:textId="77777777" w:rsidR="00236319" w:rsidRDefault="00236319" w:rsidP="00236319">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97068" w15:done="0"/>
  <w15:commentEx w15:paraId="4EAA3905" w15:done="0"/>
  <w15:commentEx w15:paraId="735A5C97" w15:done="0"/>
  <w15:commentEx w15:paraId="6C9EFCA5" w15:done="0"/>
  <w15:commentEx w15:paraId="2A4F4672" w15:done="0"/>
  <w15:commentEx w15:paraId="3E4E4A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eibyl">
    <w15:presenceInfo w15:providerId="Windows Live" w15:userId="f7ce3dfd19909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19"/>
    <w:rsid w:val="00236319"/>
    <w:rsid w:val="009F1A03"/>
    <w:rsid w:val="00A70A09"/>
    <w:rsid w:val="00E650BF"/>
    <w:rsid w:val="00FE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90B7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319"/>
    <w:pPr>
      <w:widowControl w:val="0"/>
      <w:autoSpaceDE w:val="0"/>
      <w:autoSpaceDN w:val="0"/>
      <w:adjustRightInd w:val="0"/>
    </w:pPr>
    <w:rPr>
      <w:rFonts w:ascii="Calibri" w:eastAsia="Times New Roman" w:hAnsi="Calibri" w:cs="Calibri"/>
    </w:rPr>
  </w:style>
  <w:style w:type="paragraph" w:styleId="Heading2">
    <w:name w:val="heading 2"/>
    <w:basedOn w:val="Normal"/>
    <w:next w:val="Normal"/>
    <w:link w:val="Heading2Char"/>
    <w:uiPriority w:val="9"/>
    <w:qFormat/>
    <w:rsid w:val="00236319"/>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236319"/>
    <w:pPr>
      <w:keepNext/>
      <w:spacing w:before="240" w:after="60"/>
      <w:outlineLvl w:val="2"/>
    </w:pPr>
    <w:rPr>
      <w:rFonts w:cs="Times New Roman"/>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319"/>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236319"/>
    <w:rPr>
      <w:rFonts w:ascii="Calibri" w:eastAsia="Times New Roman" w:hAnsi="Calibri" w:cs="Times New Roman"/>
      <w:bCs/>
      <w:caps/>
      <w:u w:val="single"/>
    </w:rPr>
  </w:style>
  <w:style w:type="character" w:styleId="CommentReference">
    <w:name w:val="annotation reference"/>
    <w:uiPriority w:val="99"/>
    <w:unhideWhenUsed/>
    <w:rsid w:val="00236319"/>
    <w:rPr>
      <w:sz w:val="18"/>
      <w:szCs w:val="18"/>
    </w:rPr>
  </w:style>
  <w:style w:type="paragraph" w:styleId="CommentText">
    <w:name w:val="annotation text"/>
    <w:basedOn w:val="Normal"/>
    <w:link w:val="CommentTextChar"/>
    <w:uiPriority w:val="99"/>
    <w:unhideWhenUsed/>
    <w:rsid w:val="00236319"/>
    <w:rPr>
      <w:rFonts w:cs="Times New Roman"/>
      <w:lang w:val="x-none" w:eastAsia="x-none"/>
    </w:rPr>
  </w:style>
  <w:style w:type="character" w:customStyle="1" w:styleId="CommentTextChar">
    <w:name w:val="Comment Text Char"/>
    <w:basedOn w:val="DefaultParagraphFont"/>
    <w:link w:val="CommentText"/>
    <w:uiPriority w:val="99"/>
    <w:rsid w:val="00236319"/>
    <w:rPr>
      <w:rFonts w:ascii="Calibri" w:eastAsia="Times New Roman" w:hAnsi="Calibri" w:cs="Times New Roman"/>
      <w:lang w:val="x-none" w:eastAsia="x-none"/>
    </w:rPr>
  </w:style>
  <w:style w:type="character" w:styleId="IntenseReference">
    <w:name w:val="Intense Reference"/>
    <w:uiPriority w:val="32"/>
    <w:rsid w:val="00236319"/>
    <w:rPr>
      <w:b/>
      <w:bCs/>
      <w:smallCaps/>
      <w:color w:val="C0504D"/>
      <w:spacing w:val="5"/>
      <w:u w:val="single"/>
    </w:rPr>
  </w:style>
  <w:style w:type="paragraph" w:styleId="BodyText">
    <w:name w:val="Body Text"/>
    <w:basedOn w:val="Normal"/>
    <w:link w:val="BodyTextChar"/>
    <w:uiPriority w:val="4"/>
    <w:unhideWhenUsed/>
    <w:qFormat/>
    <w:rsid w:val="00236319"/>
    <w:pPr>
      <w:spacing w:after="160"/>
    </w:pPr>
  </w:style>
  <w:style w:type="character" w:customStyle="1" w:styleId="BodyTextChar">
    <w:name w:val="Body Text Char"/>
    <w:basedOn w:val="DefaultParagraphFont"/>
    <w:link w:val="BodyText"/>
    <w:uiPriority w:val="4"/>
    <w:rsid w:val="00236319"/>
    <w:rPr>
      <w:rFonts w:ascii="Calibri" w:eastAsia="Times New Roman" w:hAnsi="Calibri" w:cs="Calibri"/>
    </w:rPr>
  </w:style>
  <w:style w:type="paragraph" w:styleId="NormalWeb">
    <w:name w:val="Normal (Web)"/>
    <w:basedOn w:val="Normal"/>
    <w:uiPriority w:val="99"/>
    <w:unhideWhenUsed/>
    <w:rsid w:val="00236319"/>
    <w:pPr>
      <w:widowControl/>
      <w:autoSpaceDE/>
      <w:autoSpaceDN/>
      <w:adjustRightInd/>
      <w:spacing w:before="100" w:beforeAutospacing="1" w:after="100" w:afterAutospacing="1"/>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2363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31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1200</Words>
  <Characters>6840</Characters>
  <Application>Microsoft Macintosh Word</Application>
  <DocSecurity>0</DocSecurity>
  <Lines>57</Lines>
  <Paragraphs>16</Paragraphs>
  <ScaleCrop>false</ScaleCrop>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Seibyl</dc:creator>
  <cp:keywords/>
  <dc:description/>
  <cp:lastModifiedBy>John Seibyl</cp:lastModifiedBy>
  <cp:revision>3</cp:revision>
  <dcterms:created xsi:type="dcterms:W3CDTF">2016-03-07T16:39:00Z</dcterms:created>
  <dcterms:modified xsi:type="dcterms:W3CDTF">2016-03-07T16:52:00Z</dcterms:modified>
</cp:coreProperties>
</file>