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2BBA19EF" w:rsidR="000D48D6" w:rsidRPr="00D92917" w:rsidRDefault="007B18D0" w:rsidP="00E70C8A">
      <w:pPr>
        <w:jc w:val="right"/>
      </w:pPr>
      <w:bookmarkStart w:id="0" w:name="_GoBack"/>
      <w:bookmarkEnd w:id="0"/>
      <w:r>
        <w:t xml:space="preserve"> </w:t>
      </w:r>
      <w:r w:rsidR="000D48D6"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6174B347" w14:textId="77777777" w:rsidR="00AC3F21" w:rsidRPr="006D6220" w:rsidRDefault="00AC3F21" w:rsidP="00AC3F21">
      <w:pPr>
        <w:rPr>
          <w:b/>
          <w:color w:val="002060"/>
          <w:sz w:val="56"/>
        </w:rPr>
      </w:pPr>
      <w:r w:rsidRPr="006D6220">
        <w:rPr>
          <w:b/>
          <w:color w:val="002060"/>
          <w:sz w:val="56"/>
        </w:rPr>
        <w:t>Conformance Checklist</w:t>
      </w:r>
    </w:p>
    <w:p w14:paraId="7468B888" w14:textId="77777777" w:rsidR="00AC3F21" w:rsidRDefault="00AC3F21" w:rsidP="00AE3027">
      <w:pPr>
        <w:rPr>
          <w:rFonts w:asciiTheme="majorHAnsi" w:eastAsiaTheme="majorEastAsia" w:hAnsiTheme="majorHAnsi" w:cstheme="majorBidi"/>
          <w:spacing w:val="-10"/>
          <w:kern w:val="28"/>
          <w:sz w:val="56"/>
          <w:szCs w:val="56"/>
        </w:rPr>
      </w:pPr>
    </w:p>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68151097" w14:textId="06417B02" w:rsidR="00E70C8A" w:rsidRDefault="00AE3027" w:rsidP="000D48D6">
      <w:r w:rsidRPr="006D6220">
        <w:rPr>
          <w:rFonts w:asciiTheme="majorHAnsi" w:eastAsiaTheme="majorEastAsia" w:hAnsiTheme="majorHAnsi" w:cstheme="majorBidi"/>
          <w:spacing w:val="-10"/>
          <w:kern w:val="28"/>
          <w:sz w:val="40"/>
          <w:szCs w:val="56"/>
        </w:rPr>
        <w:t>(Short Title: SPECT dopamine transporters)</w:t>
      </w:r>
    </w:p>
    <w:p w14:paraId="764C2B7E" w14:textId="1918A457" w:rsidR="000D48D6" w:rsidRPr="009A67FC" w:rsidRDefault="000D48D6" w:rsidP="000D48D6">
      <w:pPr>
        <w:spacing w:before="240"/>
        <w:jc w:val="center"/>
        <w:rPr>
          <w:b/>
        </w:rPr>
      </w:pPr>
      <w:r w:rsidRPr="009A67FC">
        <w:rPr>
          <w:b/>
        </w:rPr>
        <w:br w:type="page"/>
      </w:r>
    </w:p>
    <w:p w14:paraId="2AF7BA25" w14:textId="43F6EBDD" w:rsidR="000D48D6" w:rsidRPr="00D92917" w:rsidRDefault="000D48D6" w:rsidP="000D48D6">
      <w:pPr>
        <w:pStyle w:val="Heading1"/>
        <w:keepNext/>
      </w:pPr>
      <w:bookmarkStart w:id="1" w:name="_Toc292350659"/>
      <w:bookmarkStart w:id="2" w:name="_Toc448590602"/>
      <w:r>
        <w:lastRenderedPageBreak/>
        <w:t>3</w:t>
      </w:r>
      <w:r w:rsidRPr="00D92917">
        <w:t xml:space="preserve">. </w:t>
      </w:r>
      <w:r>
        <w:t>Profile Activit</w:t>
      </w:r>
      <w:bookmarkEnd w:id="1"/>
      <w:r>
        <w:t>ies</w:t>
      </w:r>
      <w:bookmarkEnd w:id="2"/>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5299DBD6" w14:textId="1FA5BB5A" w:rsidR="001E0991" w:rsidRDefault="004E7941" w:rsidP="006D6220">
      <w:pPr>
        <w:pStyle w:val="BodyText"/>
        <w:rPr>
          <w:rFonts w:cs="Times New Roman"/>
          <w:b/>
          <w:sz w:val="28"/>
          <w:szCs w:val="20"/>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bookmarkStart w:id="3" w:name="_Toc292350660"/>
    </w:p>
    <w:p w14:paraId="3360078F" w14:textId="0EE7183F" w:rsidR="000D48D6" w:rsidRDefault="000D48D6" w:rsidP="000D48D6">
      <w:pPr>
        <w:pStyle w:val="Heading2"/>
      </w:pPr>
      <w:bookmarkStart w:id="4" w:name="_Toc448590603"/>
      <w:r>
        <w:t>3.1. Pre-delivery</w:t>
      </w:r>
      <w:bookmarkEnd w:id="4"/>
    </w:p>
    <w:p w14:paraId="6782BC76" w14:textId="77777777" w:rsidR="000C3065" w:rsidRDefault="000C3065" w:rsidP="000C3065">
      <w:pPr>
        <w:pStyle w:val="Heading3"/>
      </w:pPr>
      <w:bookmarkStart w:id="5" w:name="_Toc448590605"/>
      <w:r>
        <w:t>3.1.2</w:t>
      </w:r>
      <w:r w:rsidRPr="00B466EA">
        <w:t xml:space="preserve"> </w:t>
      </w:r>
      <w:r>
        <w:t>Specification</w:t>
      </w:r>
      <w:bookmarkEnd w:id="5"/>
    </w:p>
    <w:p w14:paraId="1D84E92A" w14:textId="77777777" w:rsidR="000C3065" w:rsidRPr="009C7534"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D92917"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786"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6459"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9F134F">
        <w:trPr>
          <w:tblCellSpacing w:w="7" w:type="dxa"/>
        </w:trPr>
        <w:tc>
          <w:tcPr>
            <w:tcW w:w="1779" w:type="dxa"/>
            <w:vMerge w:val="restart"/>
            <w:vAlign w:val="center"/>
          </w:tcPr>
          <w:p w14:paraId="7A9D2607" w14:textId="77777777" w:rsidR="000C3065" w:rsidRPr="00D17F87" w:rsidRDefault="000C3065" w:rsidP="00634EF3">
            <w:r>
              <w:t>Release Testing</w:t>
            </w:r>
          </w:p>
        </w:tc>
        <w:tc>
          <w:tcPr>
            <w:tcW w:w="1786" w:type="dxa"/>
            <w:vAlign w:val="center"/>
          </w:tcPr>
          <w:p w14:paraId="79C8D396" w14:textId="77777777" w:rsidR="000C3065" w:rsidRPr="00D17F87" w:rsidRDefault="000C3065" w:rsidP="00634EF3">
            <w:r>
              <w:t>Manufacturer</w:t>
            </w:r>
          </w:p>
        </w:tc>
        <w:tc>
          <w:tcPr>
            <w:tcW w:w="6459"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9F134F">
        <w:trPr>
          <w:tblCellSpacing w:w="7" w:type="dxa"/>
        </w:trPr>
        <w:tc>
          <w:tcPr>
            <w:tcW w:w="1779" w:type="dxa"/>
            <w:vMerge/>
            <w:vAlign w:val="center"/>
          </w:tcPr>
          <w:p w14:paraId="1D99E2C9" w14:textId="77777777" w:rsidR="000C3065" w:rsidRPr="00D17F87" w:rsidRDefault="000C3065" w:rsidP="00634EF3"/>
        </w:tc>
        <w:tc>
          <w:tcPr>
            <w:tcW w:w="1786" w:type="dxa"/>
            <w:vAlign w:val="center"/>
          </w:tcPr>
          <w:p w14:paraId="339DF7E3" w14:textId="77777777" w:rsidR="000C3065" w:rsidRPr="00D17F87" w:rsidRDefault="000C3065" w:rsidP="00634EF3">
            <w:r>
              <w:t>Non-OEM parts supplier</w:t>
            </w:r>
          </w:p>
        </w:tc>
        <w:tc>
          <w:tcPr>
            <w:tcW w:w="6459"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A7768A" w:rsidRPr="00D92917" w14:paraId="602BD245" w14:textId="77777777" w:rsidTr="009F134F">
        <w:trPr>
          <w:tblCellSpacing w:w="7" w:type="dxa"/>
        </w:trPr>
        <w:tc>
          <w:tcPr>
            <w:tcW w:w="1779" w:type="dxa"/>
            <w:vAlign w:val="center"/>
          </w:tcPr>
          <w:p w14:paraId="1A72DA15" w14:textId="07F71F4A" w:rsidR="00A7768A" w:rsidRPr="00D17F87" w:rsidRDefault="002E6E30" w:rsidP="00634EF3">
            <w:r>
              <w:t>DICOM format</w:t>
            </w:r>
          </w:p>
        </w:tc>
        <w:tc>
          <w:tcPr>
            <w:tcW w:w="1786" w:type="dxa"/>
            <w:vAlign w:val="center"/>
          </w:tcPr>
          <w:p w14:paraId="43251CCA" w14:textId="0A291D7B" w:rsidR="00A7768A" w:rsidRDefault="00822032" w:rsidP="00634EF3">
            <w:r>
              <w:t>Manufacturer</w:t>
            </w:r>
          </w:p>
        </w:tc>
        <w:tc>
          <w:tcPr>
            <w:tcW w:w="6459" w:type="dxa"/>
            <w:vAlign w:val="center"/>
          </w:tcPr>
          <w:p w14:paraId="01CE3DF7" w14:textId="4372BD29" w:rsidR="00A7768A" w:rsidRDefault="002E6E30" w:rsidP="00634EF3">
            <w:r>
              <w:t xml:space="preserve">Shall </w:t>
            </w:r>
            <w:r w:rsidRPr="002E6E30">
              <w:t>meet the Conformance Statement written by manufacturer of each system</w:t>
            </w:r>
          </w:p>
        </w:tc>
      </w:tr>
      <w:tr w:rsidR="00634EF3" w:rsidRPr="00D92917" w14:paraId="2CB36820" w14:textId="77777777" w:rsidTr="009F134F">
        <w:trPr>
          <w:tblCellSpacing w:w="7" w:type="dxa"/>
        </w:trPr>
        <w:tc>
          <w:tcPr>
            <w:tcW w:w="1779" w:type="dxa"/>
            <w:vAlign w:val="center"/>
          </w:tcPr>
          <w:p w14:paraId="0F02B0E8" w14:textId="77777777" w:rsidR="000C3065" w:rsidRPr="00D17F87" w:rsidRDefault="000C3065" w:rsidP="00634EF3">
            <w:r>
              <w:t>Computer workstations</w:t>
            </w:r>
          </w:p>
        </w:tc>
        <w:tc>
          <w:tcPr>
            <w:tcW w:w="1786" w:type="dxa"/>
            <w:vAlign w:val="center"/>
          </w:tcPr>
          <w:p w14:paraId="75495B77" w14:textId="77777777" w:rsidR="000C3065" w:rsidRPr="00D17F87" w:rsidRDefault="000C3065" w:rsidP="00634EF3">
            <w:r>
              <w:t>Vendor</w:t>
            </w:r>
          </w:p>
        </w:tc>
        <w:tc>
          <w:tcPr>
            <w:tcW w:w="6459" w:type="dxa"/>
            <w:vAlign w:val="center"/>
          </w:tcPr>
          <w:p w14:paraId="1A46E45C" w14:textId="66CDAF0F" w:rsidR="000C3065" w:rsidRPr="00D17F87" w:rsidRDefault="000C3065" w:rsidP="00954E35">
            <w:r>
              <w:t>All workstations used to process images must be validated, able to support the image file type generated by the gamma camera and able to perform the image</w:t>
            </w:r>
            <w:r w:rsidR="00954E35">
              <w:t xml:space="preserve"> reconstruction and analysis requirements detailed in </w:t>
            </w:r>
            <w:r>
              <w:t xml:space="preserve">Sections </w:t>
            </w:r>
            <w:r w:rsidR="00954E35" w:rsidRPr="0090470F">
              <w:t>3.7 and 3.10.</w:t>
            </w:r>
          </w:p>
        </w:tc>
      </w:tr>
      <w:tr w:rsidR="00634EF3" w:rsidRPr="00D92917" w14:paraId="6ACD90BA" w14:textId="77777777" w:rsidTr="009F134F">
        <w:trPr>
          <w:tblCellSpacing w:w="7" w:type="dxa"/>
        </w:trPr>
        <w:tc>
          <w:tcPr>
            <w:tcW w:w="1779" w:type="dxa"/>
            <w:vAlign w:val="center"/>
          </w:tcPr>
          <w:p w14:paraId="79AE7122" w14:textId="0FAE1F41" w:rsidR="000C3065" w:rsidRDefault="00954E35" w:rsidP="00634EF3">
            <w:r>
              <w:t>Camera System</w:t>
            </w:r>
          </w:p>
        </w:tc>
        <w:tc>
          <w:tcPr>
            <w:tcW w:w="1786" w:type="dxa"/>
            <w:vAlign w:val="center"/>
          </w:tcPr>
          <w:p w14:paraId="34371991" w14:textId="03C699C7" w:rsidR="000C3065" w:rsidRDefault="00634EF3" w:rsidP="00634EF3">
            <w:r>
              <w:t>Owned by imaging center; placed by technologist</w:t>
            </w:r>
          </w:p>
        </w:tc>
        <w:tc>
          <w:tcPr>
            <w:tcW w:w="6459" w:type="dxa"/>
            <w:vAlign w:val="center"/>
          </w:tcPr>
          <w:p w14:paraId="40DC9F06" w14:textId="1C041DC7" w:rsidR="000C3065" w:rsidRPr="00954E35" w:rsidRDefault="00954E35" w:rsidP="000F75CD">
            <w:r>
              <w:rPr>
                <w:rFonts w:cs="Times New Roman"/>
                <w:bCs/>
              </w:rPr>
              <w:t xml:space="preserve">A camera system should be used that meets the requirements detailed under Image Data Acquisition in Section 3.6. This includes specific requirements for the collimator, projection bin (pixel) size, </w:t>
            </w:r>
            <w:r w:rsidR="00824E9B">
              <w:rPr>
                <w:rFonts w:cs="Times New Roman"/>
                <w:bCs/>
              </w:rPr>
              <w:t>head-holder, etc.</w:t>
            </w:r>
          </w:p>
        </w:tc>
      </w:tr>
    </w:tbl>
    <w:p w14:paraId="53274A66" w14:textId="31E99F26" w:rsidR="001A2CB1" w:rsidRPr="006D6220" w:rsidRDefault="001A2CB1" w:rsidP="001A2CB1">
      <w:pPr>
        <w:pStyle w:val="Heading3"/>
        <w:rPr>
          <w:b/>
          <w:sz w:val="28"/>
        </w:rPr>
      </w:pPr>
      <w:bookmarkStart w:id="6" w:name="_Toc448590606"/>
      <w:r w:rsidRPr="006D6220">
        <w:rPr>
          <w:b/>
          <w:sz w:val="28"/>
        </w:rPr>
        <w:t>3.2</w:t>
      </w:r>
      <w:r w:rsidR="00922E4F" w:rsidRPr="006D6220">
        <w:rPr>
          <w:b/>
          <w:sz w:val="28"/>
        </w:rPr>
        <w:t xml:space="preserve"> </w:t>
      </w:r>
      <w:r w:rsidR="0090470F" w:rsidRPr="006D6220">
        <w:rPr>
          <w:b/>
          <w:sz w:val="28"/>
        </w:rPr>
        <w:t xml:space="preserve">INSTALLATION AND </w:t>
      </w:r>
      <w:r w:rsidR="00922E4F" w:rsidRPr="006D6220">
        <w:rPr>
          <w:b/>
          <w:sz w:val="28"/>
        </w:rPr>
        <w:t>Acceptance tests</w:t>
      </w:r>
      <w:bookmarkEnd w:id="6"/>
    </w:p>
    <w:p w14:paraId="1BE3502B" w14:textId="7CBC89FE" w:rsidR="001A2CB1" w:rsidRDefault="001A2CB1" w:rsidP="001A2CB1">
      <w:pPr>
        <w:pStyle w:val="Heading3"/>
      </w:pPr>
      <w:bookmarkStart w:id="7" w:name="_Toc448590608"/>
      <w:r>
        <w:t>3.2.2</w:t>
      </w:r>
      <w:r w:rsidRPr="00B466EA">
        <w:t xml:space="preserve"> </w:t>
      </w:r>
      <w:r>
        <w:t>Specification</w:t>
      </w:r>
      <w:bookmarkEnd w:id="7"/>
    </w:p>
    <w:p w14:paraId="7A8734F2" w14:textId="77777777" w:rsidR="001A2CB1" w:rsidRPr="00B975A9"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786"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6459"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9F134F">
        <w:trPr>
          <w:tblCellSpacing w:w="7" w:type="dxa"/>
        </w:trPr>
        <w:tc>
          <w:tcPr>
            <w:tcW w:w="1779" w:type="dxa"/>
            <w:vMerge w:val="restart"/>
            <w:vAlign w:val="center"/>
          </w:tcPr>
          <w:p w14:paraId="76B7F355" w14:textId="77777777" w:rsidR="001A2CB1" w:rsidRPr="00D17F87" w:rsidRDefault="001A2CB1" w:rsidP="007877BA">
            <w:r>
              <w:t>Acceptance tests</w:t>
            </w:r>
          </w:p>
        </w:tc>
        <w:tc>
          <w:tcPr>
            <w:tcW w:w="1786" w:type="dxa"/>
          </w:tcPr>
          <w:p w14:paraId="09FF0762" w14:textId="77777777" w:rsidR="001A2CB1" w:rsidRPr="00D17F87" w:rsidRDefault="001A2CB1" w:rsidP="007877BA">
            <w:r>
              <w:t>Physicist or other trained, qualified personnel</w:t>
            </w:r>
          </w:p>
        </w:tc>
        <w:tc>
          <w:tcPr>
            <w:tcW w:w="6459"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9F134F">
        <w:trPr>
          <w:tblCellSpacing w:w="7" w:type="dxa"/>
        </w:trPr>
        <w:tc>
          <w:tcPr>
            <w:tcW w:w="1779" w:type="dxa"/>
            <w:vMerge/>
            <w:vAlign w:val="center"/>
          </w:tcPr>
          <w:p w14:paraId="1C0BEAD3" w14:textId="77777777" w:rsidR="001A2CB1" w:rsidRPr="00D17F87" w:rsidRDefault="001A2CB1" w:rsidP="007877BA"/>
        </w:tc>
        <w:tc>
          <w:tcPr>
            <w:tcW w:w="1786" w:type="dxa"/>
          </w:tcPr>
          <w:p w14:paraId="103C6B49" w14:textId="77777777" w:rsidR="001A2CB1" w:rsidRPr="00D17F87" w:rsidRDefault="001A2CB1" w:rsidP="007877BA">
            <w:r>
              <w:t>Scanner</w:t>
            </w:r>
          </w:p>
        </w:tc>
        <w:tc>
          <w:tcPr>
            <w:tcW w:w="6459"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1823BB7A" w14:textId="77777777" w:rsidR="008E2B75" w:rsidRDefault="008E2B75">
      <w:pPr>
        <w:widowControl/>
        <w:autoSpaceDE/>
        <w:autoSpaceDN/>
        <w:adjustRightInd/>
        <w:spacing w:after="160" w:line="259" w:lineRule="auto"/>
        <w:rPr>
          <w:rFonts w:cs="Times New Roman"/>
          <w:b/>
          <w:sz w:val="28"/>
          <w:szCs w:val="20"/>
        </w:rPr>
      </w:pPr>
      <w:bookmarkStart w:id="8" w:name="_Toc448590609"/>
      <w:r>
        <w:br w:type="page"/>
      </w:r>
    </w:p>
    <w:p w14:paraId="425E8186" w14:textId="5A9EC621" w:rsidR="001A2CB1" w:rsidRDefault="001A2CB1" w:rsidP="001A2CB1">
      <w:pPr>
        <w:pStyle w:val="Heading2"/>
      </w:pPr>
      <w:r>
        <w:lastRenderedPageBreak/>
        <w:t>3.3. Periodic QA</w:t>
      </w:r>
      <w:bookmarkEnd w:id="8"/>
    </w:p>
    <w:p w14:paraId="5EE1BC09" w14:textId="77777777" w:rsidR="001A2CB1" w:rsidRDefault="001A2CB1" w:rsidP="001A2CB1">
      <w:pPr>
        <w:pStyle w:val="Heading3"/>
      </w:pPr>
      <w:bookmarkStart w:id="9" w:name="_Toc448590611"/>
      <w:r>
        <w:t>3.3.2</w:t>
      </w:r>
      <w:r w:rsidRPr="00B466EA">
        <w:t xml:space="preserve"> </w:t>
      </w:r>
      <w:r>
        <w:t>Specification</w:t>
      </w:r>
      <w:bookmarkEnd w:id="9"/>
    </w:p>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4"/>
        <w:gridCol w:w="1780"/>
        <w:gridCol w:w="6415"/>
      </w:tblGrid>
      <w:tr w:rsidR="00CC5475" w:rsidRPr="00DC0527" w14:paraId="19A19B85" w14:textId="77777777" w:rsidTr="006D6220">
        <w:trPr>
          <w:tblCellSpacing w:w="7" w:type="dxa"/>
        </w:trPr>
        <w:tc>
          <w:tcPr>
            <w:tcW w:w="883" w:type="pct"/>
            <w:shd w:val="clear" w:color="auto" w:fill="D9D9D9" w:themeFill="background1" w:themeFillShade="D9"/>
            <w:vAlign w:val="center"/>
          </w:tcPr>
          <w:p w14:paraId="758F5326" w14:textId="263EF5E5" w:rsidR="00CC5475" w:rsidRPr="00D6366A" w:rsidRDefault="00CC5475" w:rsidP="008C3AC0">
            <w:pPr>
              <w:rPr>
                <w:rFonts w:asciiTheme="minorHAnsi" w:hAnsiTheme="minorHAnsi"/>
              </w:rPr>
            </w:pPr>
            <w:r>
              <w:rPr>
                <w:rFonts w:asciiTheme="minorHAnsi" w:hAnsiTheme="minorHAnsi"/>
              </w:rPr>
              <w:t>Parameter</w:t>
            </w:r>
          </w:p>
        </w:tc>
        <w:tc>
          <w:tcPr>
            <w:tcW w:w="885" w:type="pct"/>
            <w:shd w:val="clear" w:color="auto" w:fill="D9D9D9" w:themeFill="background1" w:themeFillShade="D9"/>
            <w:vAlign w:val="center"/>
          </w:tcPr>
          <w:p w14:paraId="1675CDFF" w14:textId="586C16F9" w:rsidR="00CC5475" w:rsidRPr="00F50A39" w:rsidRDefault="00CC5475" w:rsidP="008C3AC0">
            <w:pPr>
              <w:rPr>
                <w:rFonts w:asciiTheme="minorHAnsi" w:hAnsiTheme="minorHAnsi"/>
                <w:color w:val="808080" w:themeColor="background1" w:themeShade="80"/>
              </w:rPr>
            </w:pPr>
            <w:r>
              <w:rPr>
                <w:rFonts w:asciiTheme="minorHAnsi" w:hAnsiTheme="minorHAnsi"/>
                <w:color w:val="808080" w:themeColor="background1" w:themeShade="80"/>
              </w:rPr>
              <w:t>Actor</w:t>
            </w:r>
          </w:p>
        </w:tc>
        <w:tc>
          <w:tcPr>
            <w:tcW w:w="3204" w:type="pct"/>
            <w:shd w:val="clear" w:color="auto" w:fill="D9D9D9" w:themeFill="background1" w:themeFillShade="D9"/>
            <w:vAlign w:val="center"/>
          </w:tcPr>
          <w:p w14:paraId="406C6669" w14:textId="1E844EC8" w:rsidR="00CC5475" w:rsidRPr="00D6366A" w:rsidRDefault="00CC5475" w:rsidP="00374DBC">
            <w:pPr>
              <w:rPr>
                <w:rFonts w:asciiTheme="minorHAnsi" w:hAnsiTheme="minorHAnsi"/>
              </w:rPr>
            </w:pPr>
            <w:r>
              <w:rPr>
                <w:rFonts w:asciiTheme="minorHAnsi" w:hAnsiTheme="minorHAnsi"/>
              </w:rPr>
              <w:t>Requirement</w:t>
            </w:r>
          </w:p>
        </w:tc>
      </w:tr>
      <w:tr w:rsidR="005F606F" w:rsidRPr="00DC0527" w14:paraId="5008A7F4" w14:textId="77777777" w:rsidTr="009F134F">
        <w:trPr>
          <w:tblCellSpacing w:w="7" w:type="dxa"/>
        </w:trPr>
        <w:tc>
          <w:tcPr>
            <w:tcW w:w="883" w:type="pct"/>
            <w:vAlign w:val="center"/>
          </w:tcPr>
          <w:p w14:paraId="06B30F20" w14:textId="77777777" w:rsidR="008C3AC0" w:rsidRPr="00D6366A" w:rsidRDefault="008C3AC0" w:rsidP="008C3AC0">
            <w:pPr>
              <w:rPr>
                <w:rFonts w:asciiTheme="minorHAnsi" w:hAnsiTheme="minorHAnsi"/>
              </w:rPr>
            </w:pPr>
            <w:r w:rsidRPr="00D6366A">
              <w:rPr>
                <w:rFonts w:asciiTheme="minorHAnsi" w:hAnsiTheme="minorHAnsi"/>
              </w:rPr>
              <w:t>Planar Uniformity</w:t>
            </w:r>
          </w:p>
        </w:tc>
        <w:tc>
          <w:tcPr>
            <w:tcW w:w="885" w:type="pct"/>
            <w:vAlign w:val="center"/>
          </w:tcPr>
          <w:p w14:paraId="1E57E3F1" w14:textId="77777777" w:rsidR="008C3AC0" w:rsidRPr="00F50A39" w:rsidRDefault="008C3AC0" w:rsidP="008C3AC0">
            <w:pPr>
              <w:rPr>
                <w:rFonts w:asciiTheme="minorHAnsi" w:hAnsiTheme="minorHAnsi"/>
                <w:color w:val="808080" w:themeColor="background1" w:themeShade="80"/>
              </w:rPr>
            </w:pPr>
            <w:r w:rsidRPr="00F50A39">
              <w:rPr>
                <w:rFonts w:asciiTheme="minorHAnsi" w:hAnsiTheme="minorHAnsi"/>
                <w:color w:val="808080" w:themeColor="background1" w:themeShade="80"/>
              </w:rPr>
              <w:t>Imaging Site</w:t>
            </w:r>
          </w:p>
        </w:tc>
        <w:tc>
          <w:tcPr>
            <w:tcW w:w="3204" w:type="pct"/>
            <w:vAlign w:val="center"/>
          </w:tcPr>
          <w:p w14:paraId="2CD05990" w14:textId="5C828902" w:rsidR="008C3AC0" w:rsidRPr="00D6366A" w:rsidRDefault="008C3AC0" w:rsidP="00374DBC">
            <w:pPr>
              <w:rPr>
                <w:rFonts w:asciiTheme="minorHAnsi" w:hAnsiTheme="minorHAnsi"/>
              </w:rPr>
            </w:pPr>
            <w:r w:rsidRPr="00D6366A">
              <w:rPr>
                <w:rFonts w:asciiTheme="minorHAnsi" w:hAnsiTheme="minorHAnsi"/>
              </w:rPr>
              <w:t>Uniformity of response to a uniform flux of radiation from a I-123 point source should be measured intrinsically every quarter. On a daily basis planar uniformity with collimators used for I-123 imaging should be performed using a Tc-99m or Co-57 source</w:t>
            </w:r>
            <w:r w:rsidR="00374DBC">
              <w:rPr>
                <w:rFonts w:asciiTheme="minorHAnsi" w:hAnsiTheme="minorHAnsi"/>
              </w:rPr>
              <w:t xml:space="preserve">. </w:t>
            </w:r>
            <w:r w:rsidR="00374DBC" w:rsidRPr="0097424F">
              <w:rPr>
                <w:rFonts w:asciiTheme="minorHAnsi" w:hAnsiTheme="minorHAnsi"/>
                <w:highlight w:val="yellow"/>
              </w:rPr>
              <w:t xml:space="preserve"> </w:t>
            </w:r>
            <w:r w:rsidR="00374DBC" w:rsidRPr="005F5E2D">
              <w:rPr>
                <w:rFonts w:asciiTheme="minorHAnsi" w:hAnsiTheme="minorHAnsi"/>
              </w:rPr>
              <w:t>The result should</w:t>
            </w:r>
            <w:r w:rsidR="001A0540" w:rsidRPr="005F5E2D">
              <w:rPr>
                <w:rFonts w:asciiTheme="minorHAnsi" w:hAnsiTheme="minorHAnsi"/>
              </w:rPr>
              <w:t xml:space="preserve"> be 4 % in CF</w:t>
            </w:r>
            <w:r w:rsidR="00374DBC" w:rsidRPr="005F5E2D">
              <w:rPr>
                <w:rFonts w:asciiTheme="minorHAnsi" w:hAnsiTheme="minorHAnsi"/>
              </w:rPr>
              <w:t>OV.</w:t>
            </w:r>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66485AB7" w14:textId="77777777" w:rsidTr="009F134F">
        <w:trPr>
          <w:tblCellSpacing w:w="7" w:type="dxa"/>
        </w:trPr>
        <w:tc>
          <w:tcPr>
            <w:tcW w:w="1779"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484D0BB" w14:textId="2AD82E9B"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r w:rsidRPr="002B3200">
              <w:rPr>
                <w:rFonts w:asciiTheme="minorHAnsi" w:hAnsiTheme="minorHAnsi" w:cs="Arial"/>
              </w:rPr>
              <w:t>.</w:t>
            </w:r>
            <w:r w:rsidR="00374DBC" w:rsidRPr="005F5E2D">
              <w:rPr>
                <w:rFonts w:asciiTheme="minorHAnsi" w:hAnsiTheme="minorHAnsi" w:cs="Arial"/>
              </w:rPr>
              <w:t xml:space="preserve"> Value shoul</w:t>
            </w:r>
            <w:r w:rsidR="002B3200" w:rsidRPr="005F5E2D">
              <w:rPr>
                <w:rFonts w:asciiTheme="minorHAnsi" w:hAnsiTheme="minorHAnsi" w:cs="Arial"/>
              </w:rPr>
              <w:t>d be within manufacturers’ specifications</w:t>
            </w:r>
            <w:r w:rsidR="00374DBC" w:rsidRPr="005F5E2D">
              <w:rPr>
                <w:rFonts w:asciiTheme="minorHAnsi" w:hAnsiTheme="minorHAnsi" w:cs="Arial"/>
              </w:rPr>
              <w:t>.</w:t>
            </w:r>
          </w:p>
        </w:tc>
      </w:tr>
      <w:tr w:rsidR="001A2CB1" w:rsidRPr="00D92917" w14:paraId="6BA3DE1F" w14:textId="77777777" w:rsidTr="009F134F">
        <w:trPr>
          <w:tblCellSpacing w:w="7" w:type="dxa"/>
        </w:trPr>
        <w:tc>
          <w:tcPr>
            <w:tcW w:w="1779"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786"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658117E" w14:textId="7B3FD118" w:rsidR="001A2CB1" w:rsidRPr="00C21A8F" w:rsidRDefault="001A2CB1" w:rsidP="00374DBC">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r w:rsidR="00374DBC">
              <w:rPr>
                <w:rFonts w:asciiTheme="minorHAnsi" w:hAnsiTheme="minorHAnsi"/>
              </w:rPr>
              <w:t xml:space="preserve"> </w:t>
            </w:r>
            <w:r w:rsidR="00374DBC" w:rsidRPr="005F5E2D">
              <w:rPr>
                <w:rFonts w:asciiTheme="minorHAnsi" w:hAnsiTheme="minorHAnsi"/>
              </w:rPr>
              <w:t>The result of the test should be less than 8 mm</w:t>
            </w:r>
            <w:r w:rsidR="002B3200">
              <w:rPr>
                <w:rFonts w:asciiTheme="minorHAnsi" w:hAnsiTheme="minorHAnsi"/>
              </w:rPr>
              <w:t xml:space="preserve"> at 10 cm</w:t>
            </w:r>
            <w:r w:rsidR="00374DBC" w:rsidRPr="005F5E2D">
              <w:rPr>
                <w:rFonts w:asciiTheme="minorHAnsi" w:hAnsiTheme="minorHAnsi"/>
              </w:rPr>
              <w:t>.</w:t>
            </w:r>
          </w:p>
        </w:tc>
      </w:tr>
      <w:tr w:rsidR="001A2CB1" w:rsidRPr="00D92917" w14:paraId="14850785" w14:textId="77777777" w:rsidTr="009F134F">
        <w:trPr>
          <w:tblCellSpacing w:w="7" w:type="dxa"/>
        </w:trPr>
        <w:tc>
          <w:tcPr>
            <w:tcW w:w="1779"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0D4B7019" w14:textId="4CA4CDE6"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w:t>
            </w:r>
            <w:r w:rsidR="0054355D">
              <w:rPr>
                <w:rFonts w:asciiTheme="minorHAnsi" w:hAnsiTheme="minorHAnsi" w:cs="Arial"/>
              </w:rPr>
              <w:t xml:space="preserve">exceed1/2 pixel (typically </w:t>
            </w:r>
            <w:r>
              <w:rPr>
                <w:rFonts w:asciiTheme="minorHAnsi" w:hAnsiTheme="minorHAnsi" w:cs="Arial"/>
              </w:rPr>
              <w:t>2 mm</w:t>
            </w:r>
            <w:r w:rsidR="0054355D">
              <w:rPr>
                <w:rFonts w:asciiTheme="minorHAnsi" w:hAnsiTheme="minorHAnsi" w:cs="Arial"/>
              </w:rPr>
              <w:t>)</w:t>
            </w:r>
            <w:r>
              <w:rPr>
                <w:rFonts w:asciiTheme="minorHAnsi" w:hAnsiTheme="minorHAnsi" w:cs="Arial"/>
              </w:rPr>
              <w:t xml:space="preserve"> when measured at the center and edges of the FOV. Position of Y=0 axis and the Y gain should be the same for all heads in a </w:t>
            </w:r>
            <w:r w:rsidR="000F03E0">
              <w:rPr>
                <w:rFonts w:asciiTheme="minorHAnsi" w:hAnsiTheme="minorHAnsi" w:cs="Arial"/>
              </w:rPr>
              <w:t>multi-head</w:t>
            </w:r>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D56C44" w:rsidRPr="00D92917" w14:paraId="22485E6E" w14:textId="77777777" w:rsidTr="009F134F">
        <w:trPr>
          <w:tblCellSpacing w:w="7" w:type="dxa"/>
        </w:trPr>
        <w:tc>
          <w:tcPr>
            <w:tcW w:w="1779" w:type="dxa"/>
            <w:vAlign w:val="center"/>
          </w:tcPr>
          <w:p w14:paraId="4EF0AEA3" w14:textId="301E863D" w:rsidR="00D56C44" w:rsidRDefault="00D56C44" w:rsidP="00D56C44">
            <w:pPr>
              <w:widowControl/>
              <w:autoSpaceDE/>
              <w:autoSpaceDN/>
              <w:adjustRightInd/>
              <w:rPr>
                <w:rFonts w:asciiTheme="minorHAnsi" w:hAnsiTheme="minorHAnsi" w:cs="Arial"/>
              </w:rPr>
            </w:pPr>
            <w:r>
              <w:rPr>
                <w:rFonts w:asciiTheme="minorHAnsi" w:hAnsiTheme="minorHAnsi" w:cs="Arial"/>
              </w:rPr>
              <w:t>Photon Energy Analyzer</w:t>
            </w:r>
          </w:p>
        </w:tc>
        <w:tc>
          <w:tcPr>
            <w:tcW w:w="1786" w:type="dxa"/>
            <w:vAlign w:val="center"/>
          </w:tcPr>
          <w:p w14:paraId="026894A9" w14:textId="0BF4B494" w:rsidR="00D56C44" w:rsidRDefault="00D56C44" w:rsidP="00E40177">
            <w:pPr>
              <w:rPr>
                <w:rFonts w:asciiTheme="minorHAnsi" w:hAnsiTheme="minorHAnsi"/>
                <w:color w:val="808080" w:themeColor="background1" w:themeShade="80"/>
              </w:rPr>
            </w:pPr>
            <w:r>
              <w:rPr>
                <w:rFonts w:asciiTheme="minorHAnsi" w:hAnsiTheme="minorHAnsi"/>
                <w:color w:val="808080" w:themeColor="background1" w:themeShade="80"/>
              </w:rPr>
              <w:t>Physicist</w:t>
            </w:r>
          </w:p>
        </w:tc>
        <w:tc>
          <w:tcPr>
            <w:tcW w:w="6459" w:type="dxa"/>
            <w:vAlign w:val="center"/>
          </w:tcPr>
          <w:p w14:paraId="011BCB06" w14:textId="59619F63" w:rsidR="00D56C44" w:rsidRDefault="00D56C44" w:rsidP="00D56C44">
            <w:pPr>
              <w:widowControl/>
              <w:autoSpaceDE/>
              <w:autoSpaceDN/>
              <w:adjustRightInd/>
              <w:rPr>
                <w:rFonts w:asciiTheme="minorHAnsi" w:hAnsiTheme="minorHAnsi" w:cs="Arial"/>
              </w:rPr>
            </w:pPr>
            <w:r>
              <w:rPr>
                <w:rFonts w:asciiTheme="minorHAnsi" w:hAnsiTheme="minorHAnsi" w:cs="Arial"/>
              </w:rPr>
              <w:t>The accuracy of the photon energy analyzer should be within manufacturer specifications. Verifying this is typically part of daily QC.</w:t>
            </w:r>
          </w:p>
        </w:tc>
      </w:tr>
      <w:tr w:rsidR="00854993" w:rsidRPr="00D92917" w14:paraId="63BD1FB4" w14:textId="77777777" w:rsidTr="009F134F">
        <w:trPr>
          <w:tblCellSpacing w:w="7" w:type="dxa"/>
        </w:trPr>
        <w:tc>
          <w:tcPr>
            <w:tcW w:w="1779" w:type="dxa"/>
            <w:vAlign w:val="center"/>
          </w:tcPr>
          <w:p w14:paraId="545845C6" w14:textId="79EAE869" w:rsidR="00854993" w:rsidRDefault="00854993" w:rsidP="00D56C44">
            <w:pPr>
              <w:widowControl/>
              <w:autoSpaceDE/>
              <w:autoSpaceDN/>
              <w:adjustRightInd/>
            </w:pPr>
            <w:r>
              <w:t>CT Attenuation map registration</w:t>
            </w:r>
          </w:p>
        </w:tc>
        <w:tc>
          <w:tcPr>
            <w:tcW w:w="1786" w:type="dxa"/>
            <w:vAlign w:val="center"/>
          </w:tcPr>
          <w:p w14:paraId="597998B7" w14:textId="67A686C5" w:rsidR="00854993" w:rsidRDefault="00854993" w:rsidP="00E40177">
            <w:r w:rsidRPr="00F50A39">
              <w:rPr>
                <w:color w:val="808080" w:themeColor="background1" w:themeShade="80"/>
              </w:rPr>
              <w:t>Medical physicist</w:t>
            </w:r>
          </w:p>
        </w:tc>
        <w:tc>
          <w:tcPr>
            <w:tcW w:w="6459" w:type="dxa"/>
            <w:vAlign w:val="center"/>
          </w:tcPr>
          <w:p w14:paraId="28E491E1" w14:textId="6420EA57" w:rsidR="00854993" w:rsidRDefault="00854993" w:rsidP="00DE5570">
            <w:pPr>
              <w:widowControl/>
              <w:autoSpaceDE/>
              <w:autoSpaceDN/>
              <w:adjustRightInd/>
            </w:pPr>
            <w:r>
              <w:t>Shall confirm that the attenuation maps are registered to the SPECT images within the manufacturer specifications. This is typicall</w:t>
            </w:r>
            <w:r w:rsidR="00FA0A33">
              <w:t>y</w:t>
            </w:r>
            <w:r>
              <w:t xml:space="preserve"> performed using manufacturer-provided phantoms and procedures.</w:t>
            </w:r>
          </w:p>
        </w:tc>
      </w:tr>
    </w:tbl>
    <w:p w14:paraId="3A8D7197" w14:textId="77777777" w:rsidR="000D48D6" w:rsidRDefault="000D48D6" w:rsidP="000D48D6"/>
    <w:p w14:paraId="2B88CB7F" w14:textId="77777777" w:rsidR="008E2B75" w:rsidRDefault="008E2B75">
      <w:pPr>
        <w:widowControl/>
        <w:autoSpaceDE/>
        <w:autoSpaceDN/>
        <w:adjustRightInd/>
        <w:spacing w:after="160" w:line="259" w:lineRule="auto"/>
        <w:rPr>
          <w:rFonts w:cs="Times New Roman"/>
          <w:b/>
          <w:sz w:val="28"/>
          <w:szCs w:val="20"/>
        </w:rPr>
      </w:pPr>
      <w:bookmarkStart w:id="10" w:name="_Toc448590612"/>
      <w:r>
        <w:br w:type="page"/>
      </w:r>
    </w:p>
    <w:p w14:paraId="5F4B7A5B" w14:textId="7E5F5D3C" w:rsidR="000D48D6" w:rsidRDefault="000D48D6" w:rsidP="000D48D6">
      <w:pPr>
        <w:pStyle w:val="Heading2"/>
      </w:pPr>
      <w:r>
        <w:lastRenderedPageBreak/>
        <w:t>3.4</w:t>
      </w:r>
      <w:r w:rsidRPr="00F117FB">
        <w:t xml:space="preserve">. Subject </w:t>
      </w:r>
      <w:bookmarkEnd w:id="3"/>
      <w:r w:rsidRPr="00F117FB">
        <w:t>Selection</w:t>
      </w:r>
      <w:bookmarkEnd w:id="10"/>
    </w:p>
    <w:p w14:paraId="3403D549" w14:textId="77777777" w:rsidR="000D48D6" w:rsidRDefault="000D48D6" w:rsidP="000D48D6">
      <w:pPr>
        <w:pStyle w:val="Heading3"/>
      </w:pPr>
      <w:bookmarkStart w:id="11" w:name="_Toc448590614"/>
      <w:r>
        <w:t>3.4.2</w:t>
      </w:r>
      <w:r w:rsidRPr="00B466EA">
        <w:t xml:space="preserve"> </w:t>
      </w:r>
      <w:r>
        <w:t>Specification</w:t>
      </w:r>
      <w:bookmarkEnd w:id="11"/>
    </w:p>
    <w:p w14:paraId="121A1136" w14:textId="77777777" w:rsidR="000D48D6"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0C3612">
        <w:trPr>
          <w:tblCellSpacing w:w="7" w:type="dxa"/>
        </w:trPr>
        <w:tc>
          <w:tcPr>
            <w:tcW w:w="1779" w:type="dxa"/>
            <w:vMerge w:val="restart"/>
            <w:vAlign w:val="center"/>
          </w:tcPr>
          <w:p w14:paraId="02E9D2A0" w14:textId="6E0882CA" w:rsidR="00007029" w:rsidRPr="00D17F87" w:rsidRDefault="00007029" w:rsidP="00DE70B4">
            <w:r>
              <w:t>Subject Selection</w:t>
            </w:r>
          </w:p>
        </w:tc>
        <w:tc>
          <w:tcPr>
            <w:tcW w:w="1786" w:type="dxa"/>
            <w:vMerge w:val="restart"/>
            <w:vAlign w:val="center"/>
          </w:tcPr>
          <w:p w14:paraId="5F41E637" w14:textId="4896F0DE" w:rsidR="00007029" w:rsidRPr="006D6220" w:rsidRDefault="00007029" w:rsidP="00B41D76">
            <w:pPr>
              <w:rPr>
                <w:color w:val="808080" w:themeColor="background1" w:themeShade="80"/>
              </w:rPr>
            </w:pPr>
            <w:r w:rsidRPr="006D6220">
              <w:rPr>
                <w:color w:val="808080" w:themeColor="background1" w:themeShade="80"/>
              </w:rPr>
              <w:t>Referring health care provider</w:t>
            </w:r>
          </w:p>
        </w:tc>
        <w:tc>
          <w:tcPr>
            <w:tcW w:w="6459" w:type="dxa"/>
            <w:vAlign w:val="center"/>
          </w:tcPr>
          <w:p w14:paraId="7E29BE9F" w14:textId="22AE1D57" w:rsidR="00007029" w:rsidRPr="00D17F87" w:rsidRDefault="00007029" w:rsidP="000E30AB">
            <w:r>
              <w:t xml:space="preserve">For the cross sectional claim, shall establish a differential diagnosis that includes </w:t>
            </w:r>
            <w:r w:rsidR="000E30AB">
              <w:t xml:space="preserve">Parkinson’s disease </w:t>
            </w:r>
            <w:r>
              <w:t xml:space="preserve">versus </w:t>
            </w:r>
            <w:r w:rsidR="000E30AB">
              <w:t xml:space="preserve">other causes of parkinsonism, such as </w:t>
            </w:r>
            <w:r>
              <w:t>essential tremor.</w:t>
            </w:r>
          </w:p>
        </w:tc>
      </w:tr>
      <w:tr w:rsidR="00007029" w:rsidRPr="00D92917" w14:paraId="558778BB" w14:textId="77777777" w:rsidTr="000C3612">
        <w:trPr>
          <w:tblCellSpacing w:w="7" w:type="dxa"/>
        </w:trPr>
        <w:tc>
          <w:tcPr>
            <w:tcW w:w="1779" w:type="dxa"/>
            <w:vMerge/>
            <w:vAlign w:val="center"/>
          </w:tcPr>
          <w:p w14:paraId="0E1F2ADE" w14:textId="77777777" w:rsidR="00007029" w:rsidRPr="00D17F87" w:rsidRDefault="00007029" w:rsidP="00DE70B4"/>
        </w:tc>
        <w:tc>
          <w:tcPr>
            <w:tcW w:w="1786" w:type="dxa"/>
            <w:vMerge/>
          </w:tcPr>
          <w:p w14:paraId="5CBC3840" w14:textId="0CAAB4D8" w:rsidR="00007029" w:rsidRPr="006D6220" w:rsidRDefault="00007029" w:rsidP="00DE70B4">
            <w:pPr>
              <w:rPr>
                <w:color w:val="808080" w:themeColor="background1" w:themeShade="80"/>
              </w:rPr>
            </w:pPr>
          </w:p>
        </w:tc>
        <w:tc>
          <w:tcPr>
            <w:tcW w:w="6459"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0C3612">
        <w:trPr>
          <w:tblCellSpacing w:w="7" w:type="dxa"/>
        </w:trPr>
        <w:tc>
          <w:tcPr>
            <w:tcW w:w="1779" w:type="dxa"/>
            <w:vMerge/>
            <w:vAlign w:val="center"/>
          </w:tcPr>
          <w:p w14:paraId="78210A88" w14:textId="77777777" w:rsidR="008C5A59" w:rsidRPr="00D17F87" w:rsidRDefault="008C5A59" w:rsidP="00DE70B4"/>
        </w:tc>
        <w:tc>
          <w:tcPr>
            <w:tcW w:w="1786" w:type="dxa"/>
          </w:tcPr>
          <w:p w14:paraId="269DEAE2" w14:textId="3B81A946" w:rsidR="008C5A59" w:rsidRPr="006D6220" w:rsidRDefault="00007029" w:rsidP="00DE70B4">
            <w:pPr>
              <w:rPr>
                <w:color w:val="808080" w:themeColor="background1" w:themeShade="80"/>
              </w:rPr>
            </w:pPr>
            <w:r w:rsidRPr="006D6220">
              <w:rPr>
                <w:color w:val="808080" w:themeColor="background1" w:themeShade="80"/>
              </w:rPr>
              <w:t>Health care provider (nurse, physician, or technologist)</w:t>
            </w:r>
          </w:p>
        </w:tc>
        <w:tc>
          <w:tcPr>
            <w:tcW w:w="6459"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bl>
    <w:p w14:paraId="00B645E9" w14:textId="77777777" w:rsidR="00B975A9" w:rsidRDefault="00B975A9" w:rsidP="000D48D6"/>
    <w:p w14:paraId="0D13073B" w14:textId="77777777" w:rsidR="000D48D6" w:rsidRDefault="000D48D6" w:rsidP="000D48D6">
      <w:pPr>
        <w:pStyle w:val="Heading2"/>
      </w:pPr>
      <w:bookmarkStart w:id="12" w:name="_Toc448590615"/>
      <w:r>
        <w:t xml:space="preserve">3.5. </w:t>
      </w:r>
      <w:r w:rsidRPr="00793068">
        <w:t>Subject</w:t>
      </w:r>
      <w:r w:rsidRPr="00D92917">
        <w:t xml:space="preserve"> </w:t>
      </w:r>
      <w:r w:rsidRPr="00363FEC">
        <w:t>Handling</w:t>
      </w:r>
      <w:bookmarkEnd w:id="12"/>
    </w:p>
    <w:p w14:paraId="0659EFFA" w14:textId="3D3F29C2" w:rsidR="000E5B90" w:rsidRDefault="000E5B90" w:rsidP="000E5B90">
      <w:pPr>
        <w:pStyle w:val="Heading3"/>
      </w:pPr>
      <w:bookmarkStart w:id="13" w:name="_Toc448590617"/>
      <w:r>
        <w:t>3.</w:t>
      </w:r>
      <w:r w:rsidR="003F7789">
        <w:t>5</w:t>
      </w:r>
      <w:r>
        <w:t>.2</w:t>
      </w:r>
      <w:r w:rsidRPr="00B466EA">
        <w:t xml:space="preserve"> </w:t>
      </w:r>
      <w:r>
        <w:t>Specification</w:t>
      </w:r>
      <w:bookmarkEnd w:id="13"/>
    </w:p>
    <w:p w14:paraId="788C72D3" w14:textId="77777777" w:rsidR="000D48D6" w:rsidRPr="00210341"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191817">
        <w:trPr>
          <w:tblCellSpacing w:w="7" w:type="dxa"/>
        </w:trPr>
        <w:tc>
          <w:tcPr>
            <w:tcW w:w="1779" w:type="dxa"/>
            <w:vMerge w:val="restart"/>
            <w:vAlign w:val="center"/>
          </w:tcPr>
          <w:p w14:paraId="42A24152" w14:textId="2A53F917" w:rsidR="008C5A59" w:rsidRPr="00D17F87" w:rsidRDefault="008C5A59" w:rsidP="00DE70B4">
            <w:r>
              <w:t>Pre-injection</w:t>
            </w:r>
          </w:p>
        </w:tc>
        <w:tc>
          <w:tcPr>
            <w:tcW w:w="1786" w:type="dxa"/>
          </w:tcPr>
          <w:p w14:paraId="65B0BB88" w14:textId="17FD9ABB" w:rsidR="008C5A59" w:rsidRPr="006D6220" w:rsidRDefault="008C5A59" w:rsidP="00DE70B4">
            <w:pPr>
              <w:rPr>
                <w:color w:val="808080" w:themeColor="background1" w:themeShade="80"/>
              </w:rPr>
            </w:pPr>
            <w:r w:rsidRPr="006D6220">
              <w:rPr>
                <w:color w:val="808080" w:themeColor="background1" w:themeShade="80"/>
              </w:rPr>
              <w:t>Nuclear pharmacy</w:t>
            </w:r>
          </w:p>
        </w:tc>
        <w:tc>
          <w:tcPr>
            <w:tcW w:w="6459" w:type="dxa"/>
            <w:vAlign w:val="center"/>
          </w:tcPr>
          <w:p w14:paraId="48173AF4" w14:textId="072E615C" w:rsidR="008C5A59" w:rsidRPr="00D17F87" w:rsidRDefault="008C5A59" w:rsidP="00DE70B4">
            <w:r>
              <w:t>Shall provide a system that is capable of receiving, dispensing and administering</w:t>
            </w:r>
            <w:r w:rsidR="0005024A">
              <w:t xml:space="preserve"> non-radioactive potassium iodide and </w:t>
            </w:r>
            <w:r>
              <w:t xml:space="preserve"> </w:t>
            </w:r>
            <w:r w:rsidRPr="008C5A59">
              <w:rPr>
                <w:vertAlign w:val="superscript"/>
              </w:rPr>
              <w:t>123</w:t>
            </w:r>
            <w:r>
              <w:t xml:space="preserve">I </w:t>
            </w:r>
            <w:proofErr w:type="spellStart"/>
            <w:r>
              <w:t>ioflupane</w:t>
            </w:r>
            <w:proofErr w:type="spellEnd"/>
            <w:r>
              <w:t>.</w:t>
            </w:r>
          </w:p>
        </w:tc>
      </w:tr>
      <w:tr w:rsidR="009B6EB8" w:rsidRPr="00D92917" w14:paraId="520D177D" w14:textId="77777777" w:rsidTr="00191817">
        <w:trPr>
          <w:tblCellSpacing w:w="7" w:type="dxa"/>
        </w:trPr>
        <w:tc>
          <w:tcPr>
            <w:tcW w:w="1779" w:type="dxa"/>
            <w:vMerge/>
            <w:vAlign w:val="center"/>
          </w:tcPr>
          <w:p w14:paraId="4AF2ACA7" w14:textId="77777777" w:rsidR="009B6EB8" w:rsidRPr="00D17F87" w:rsidRDefault="009B6EB8" w:rsidP="00DE70B4"/>
        </w:tc>
        <w:tc>
          <w:tcPr>
            <w:tcW w:w="1786" w:type="dxa"/>
            <w:vMerge w:val="restart"/>
            <w:vAlign w:val="center"/>
          </w:tcPr>
          <w:p w14:paraId="5AD65C22" w14:textId="0AC9A922" w:rsidR="009B6EB8" w:rsidRPr="006D6220" w:rsidRDefault="009B6EB8" w:rsidP="008C5A59">
            <w:pPr>
              <w:rPr>
                <w:color w:val="808080" w:themeColor="background1" w:themeShade="80"/>
              </w:rPr>
            </w:pPr>
            <w:r w:rsidRPr="006D6220">
              <w:rPr>
                <w:color w:val="808080" w:themeColor="background1" w:themeShade="80"/>
              </w:rPr>
              <w:t>Health care provider (nurse, physician, or technologist)</w:t>
            </w:r>
          </w:p>
        </w:tc>
        <w:tc>
          <w:tcPr>
            <w:tcW w:w="6459"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191817">
        <w:trPr>
          <w:tblCellSpacing w:w="7" w:type="dxa"/>
        </w:trPr>
        <w:tc>
          <w:tcPr>
            <w:tcW w:w="1779" w:type="dxa"/>
            <w:vMerge/>
            <w:vAlign w:val="center"/>
          </w:tcPr>
          <w:p w14:paraId="598C78F5" w14:textId="77777777" w:rsidR="009B6EB8" w:rsidRPr="00D17F87" w:rsidRDefault="009B6EB8" w:rsidP="00DE70B4"/>
        </w:tc>
        <w:tc>
          <w:tcPr>
            <w:tcW w:w="1786" w:type="dxa"/>
            <w:vMerge/>
            <w:vAlign w:val="center"/>
          </w:tcPr>
          <w:p w14:paraId="7D09240B" w14:textId="74E831C1" w:rsidR="009B6EB8" w:rsidRPr="006D6220" w:rsidRDefault="009B6EB8" w:rsidP="008C5A59">
            <w:pPr>
              <w:rPr>
                <w:color w:val="808080" w:themeColor="background1" w:themeShade="80"/>
              </w:rPr>
            </w:pPr>
          </w:p>
        </w:tc>
        <w:tc>
          <w:tcPr>
            <w:tcW w:w="6459" w:type="dxa"/>
            <w:vAlign w:val="center"/>
          </w:tcPr>
          <w:p w14:paraId="62B8C06A" w14:textId="6B80F0A6" w:rsidR="009B6EB8" w:rsidRPr="00D17F87" w:rsidDel="00210341" w:rsidRDefault="009B6EB8" w:rsidP="0005024A">
            <w:r>
              <w:t xml:space="preserve">Shall administer about 120 mg of Iodine in the form of </w:t>
            </w:r>
            <w:proofErr w:type="spellStart"/>
            <w:r>
              <w:t>Lugol’s</w:t>
            </w:r>
            <w:proofErr w:type="spellEnd"/>
            <w:r>
              <w:t xml:space="preserve"> solution or supersaturated potassium iodide (SSKI)</w:t>
            </w:r>
            <w:r w:rsidR="009C4CBE">
              <w:t xml:space="preserve"> at least 60 minutes prior to administration of </w:t>
            </w:r>
            <w:proofErr w:type="spellStart"/>
            <w:r w:rsidR="009C4CBE">
              <w:t>ioflupane</w:t>
            </w:r>
            <w:proofErr w:type="spellEnd"/>
            <w:r>
              <w:t>, and monitor subjects for</w:t>
            </w:r>
            <w:r w:rsidR="00337368">
              <w:t xml:space="preserve"> </w:t>
            </w:r>
            <w:r w:rsidR="0005024A">
              <w:t>adverse events and</w:t>
            </w:r>
            <w:r>
              <w:t xml:space="preserve"> allergic reactions</w:t>
            </w:r>
            <w:r w:rsidR="009C4CBE">
              <w:t xml:space="preserve"> </w:t>
            </w:r>
            <w:r w:rsidR="0005024A">
              <w:t>, such as n</w:t>
            </w:r>
            <w:r w:rsidR="0005024A" w:rsidRPr="0005024A">
              <w:t xml:space="preserve">ausea, vomiting, stomach ache, diarrhea, metallic taste in the mouth, fever, headache, runny nose, </w:t>
            </w:r>
            <w:r w:rsidR="0005024A">
              <w:t xml:space="preserve">or </w:t>
            </w:r>
            <w:r w:rsidR="0005024A" w:rsidRPr="0005024A">
              <w:t>sneezing</w:t>
            </w:r>
            <w:r w:rsidR="0005024A">
              <w:t>.</w:t>
            </w:r>
          </w:p>
        </w:tc>
      </w:tr>
      <w:tr w:rsidR="009B6EB8" w:rsidRPr="00D92917" w14:paraId="73312A30" w14:textId="77777777" w:rsidTr="00191817">
        <w:trPr>
          <w:tblCellSpacing w:w="7" w:type="dxa"/>
        </w:trPr>
        <w:tc>
          <w:tcPr>
            <w:tcW w:w="1779" w:type="dxa"/>
            <w:vMerge/>
            <w:vAlign w:val="center"/>
          </w:tcPr>
          <w:p w14:paraId="663D7A95" w14:textId="77777777" w:rsidR="009B6EB8" w:rsidRPr="00D17F87" w:rsidRDefault="009B6EB8" w:rsidP="00DE70B4"/>
        </w:tc>
        <w:tc>
          <w:tcPr>
            <w:tcW w:w="1786" w:type="dxa"/>
            <w:vMerge/>
          </w:tcPr>
          <w:p w14:paraId="5F948B35" w14:textId="610CCFF2" w:rsidR="009B6EB8" w:rsidRPr="006D6220" w:rsidRDefault="009B6EB8" w:rsidP="00DE70B4">
            <w:pPr>
              <w:rPr>
                <w:color w:val="808080" w:themeColor="background1" w:themeShade="80"/>
              </w:rPr>
            </w:pPr>
          </w:p>
        </w:tc>
        <w:tc>
          <w:tcPr>
            <w:tcW w:w="6459"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FC78F1" w:rsidRPr="00D92917" w14:paraId="231A9ACB" w14:textId="77777777" w:rsidTr="00C86CD5">
        <w:trPr>
          <w:tblCellSpacing w:w="7" w:type="dxa"/>
        </w:trPr>
        <w:tc>
          <w:tcPr>
            <w:tcW w:w="1779" w:type="dxa"/>
            <w:vMerge w:val="restart"/>
            <w:vAlign w:val="center"/>
          </w:tcPr>
          <w:p w14:paraId="3DC7DA24" w14:textId="44CCE13D" w:rsidR="00FC78F1" w:rsidRPr="00D17F87" w:rsidRDefault="00FC78F1" w:rsidP="00DE70B4">
            <w:r>
              <w:t>Post-injection</w:t>
            </w:r>
          </w:p>
        </w:tc>
        <w:tc>
          <w:tcPr>
            <w:tcW w:w="1786" w:type="dxa"/>
            <w:vMerge w:val="restart"/>
            <w:vAlign w:val="center"/>
          </w:tcPr>
          <w:p w14:paraId="37086F45" w14:textId="41766D64" w:rsidR="00FC78F1" w:rsidRPr="006D6220" w:rsidRDefault="004F404A" w:rsidP="008C5A59">
            <w:pPr>
              <w:rPr>
                <w:color w:val="808080" w:themeColor="background1" w:themeShade="80"/>
              </w:rPr>
            </w:pPr>
            <w:r w:rsidRPr="006D6220">
              <w:rPr>
                <w:color w:val="808080" w:themeColor="background1" w:themeShade="80"/>
              </w:rPr>
              <w:t>T</w:t>
            </w:r>
            <w:r w:rsidR="00FC78F1" w:rsidRPr="006D6220">
              <w:rPr>
                <w:color w:val="808080" w:themeColor="background1" w:themeShade="80"/>
              </w:rPr>
              <w:t>echnologist</w:t>
            </w:r>
          </w:p>
        </w:tc>
        <w:tc>
          <w:tcPr>
            <w:tcW w:w="6459" w:type="dxa"/>
            <w:vAlign w:val="center"/>
          </w:tcPr>
          <w:p w14:paraId="59A17BE3" w14:textId="57A482B1" w:rsidR="00FC78F1" w:rsidRDefault="00FC78F1" w:rsidP="00DE70B4">
            <w:r>
              <w:t>Shall ensure the subject voids prior to placement on the table</w:t>
            </w:r>
          </w:p>
        </w:tc>
      </w:tr>
      <w:tr w:rsidR="00FC78F1" w:rsidRPr="00D92917" w14:paraId="2EE75BFA" w14:textId="77777777" w:rsidTr="00C86CD5">
        <w:trPr>
          <w:tblCellSpacing w:w="7" w:type="dxa"/>
        </w:trPr>
        <w:tc>
          <w:tcPr>
            <w:tcW w:w="1779" w:type="dxa"/>
            <w:vMerge/>
            <w:vAlign w:val="center"/>
          </w:tcPr>
          <w:p w14:paraId="1A34EBDE" w14:textId="77777777" w:rsidR="00FC78F1" w:rsidRDefault="00FC78F1" w:rsidP="00DE70B4"/>
        </w:tc>
        <w:tc>
          <w:tcPr>
            <w:tcW w:w="1786" w:type="dxa"/>
            <w:vMerge/>
          </w:tcPr>
          <w:p w14:paraId="7B496F2C" w14:textId="77777777" w:rsidR="00FC78F1" w:rsidRDefault="00FC78F1" w:rsidP="00DE70B4"/>
        </w:tc>
        <w:tc>
          <w:tcPr>
            <w:tcW w:w="6459" w:type="dxa"/>
            <w:vAlign w:val="center"/>
          </w:tcPr>
          <w:p w14:paraId="4B3AEEC8" w14:textId="31EAF045" w:rsidR="00FC78F1" w:rsidRDefault="00FC78F1" w:rsidP="00DE70B4">
            <w:r>
              <w:t>Shall place the subject on the table in such a way that maximizes comfort, minimizes the risk of motion, and positions the basal ganglia as close to the center of the field of view as feasible.</w:t>
            </w:r>
          </w:p>
        </w:tc>
      </w:tr>
      <w:tr w:rsidR="00FC78F1" w:rsidRPr="00D92917" w14:paraId="26C4BC1A" w14:textId="77777777" w:rsidTr="00C86CD5">
        <w:trPr>
          <w:tblCellSpacing w:w="7" w:type="dxa"/>
        </w:trPr>
        <w:tc>
          <w:tcPr>
            <w:tcW w:w="1779" w:type="dxa"/>
            <w:vMerge/>
            <w:vAlign w:val="center"/>
          </w:tcPr>
          <w:p w14:paraId="1E2E9418" w14:textId="77777777" w:rsidR="00FC78F1" w:rsidRDefault="00FC78F1" w:rsidP="00DE70B4"/>
        </w:tc>
        <w:tc>
          <w:tcPr>
            <w:tcW w:w="1786" w:type="dxa"/>
            <w:vMerge/>
          </w:tcPr>
          <w:p w14:paraId="7BF40ED8" w14:textId="77777777" w:rsidR="00FC78F1" w:rsidRDefault="00FC78F1" w:rsidP="00DE70B4"/>
        </w:tc>
        <w:tc>
          <w:tcPr>
            <w:tcW w:w="6459" w:type="dxa"/>
            <w:vAlign w:val="center"/>
          </w:tcPr>
          <w:p w14:paraId="5CEA622A" w14:textId="39221DEC" w:rsidR="00FC78F1" w:rsidRDefault="00FC78F1" w:rsidP="00DE70B4">
            <w:r>
              <w:t xml:space="preserve">Shall select the proper acquisition protocol of 123I </w:t>
            </w:r>
            <w:proofErr w:type="spellStart"/>
            <w:r>
              <w:t>ioflupane</w:t>
            </w:r>
            <w:proofErr w:type="spellEnd"/>
          </w:p>
        </w:tc>
      </w:tr>
      <w:tr w:rsidR="00FC78F1" w:rsidRPr="00D92917" w14:paraId="4C4B6C28" w14:textId="77777777" w:rsidTr="00C86CD5">
        <w:trPr>
          <w:tblCellSpacing w:w="7" w:type="dxa"/>
        </w:trPr>
        <w:tc>
          <w:tcPr>
            <w:tcW w:w="1779" w:type="dxa"/>
            <w:vMerge/>
            <w:vAlign w:val="center"/>
          </w:tcPr>
          <w:p w14:paraId="0200B237" w14:textId="77777777" w:rsidR="00FC78F1" w:rsidRDefault="00FC78F1" w:rsidP="00DE70B4"/>
        </w:tc>
        <w:tc>
          <w:tcPr>
            <w:tcW w:w="1786" w:type="dxa"/>
            <w:vMerge/>
          </w:tcPr>
          <w:p w14:paraId="6FC18AAB" w14:textId="77777777" w:rsidR="00FC78F1" w:rsidRDefault="00FC78F1" w:rsidP="00DE70B4"/>
        </w:tc>
        <w:tc>
          <w:tcPr>
            <w:tcW w:w="6459" w:type="dxa"/>
            <w:vAlign w:val="center"/>
          </w:tcPr>
          <w:p w14:paraId="6EF1C625" w14:textId="2C8871CD" w:rsidR="00FC78F1" w:rsidRDefault="00FC78F1" w:rsidP="00DE70B4">
            <w:r>
              <w:t xml:space="preserve">Shall begin image acquisition at 4 hours +/- 15 minutes post intravenous administration of </w:t>
            </w:r>
            <w:proofErr w:type="spellStart"/>
            <w:r>
              <w:t>ioflupane</w:t>
            </w:r>
            <w:proofErr w:type="spellEnd"/>
          </w:p>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14" w:name="_Toc292350661"/>
      <w:bookmarkStart w:id="15" w:name="_Toc448590618"/>
      <w:r>
        <w:lastRenderedPageBreak/>
        <w:t>3.</w:t>
      </w:r>
      <w:r w:rsidR="007806D4">
        <w:t>6</w:t>
      </w:r>
      <w:r>
        <w:t>. Image</w:t>
      </w:r>
      <w:r w:rsidRPr="00D92917">
        <w:t xml:space="preserve"> </w:t>
      </w:r>
      <w:r>
        <w:t>Data Acquisition</w:t>
      </w:r>
      <w:bookmarkEnd w:id="14"/>
      <w:bookmarkEnd w:id="15"/>
    </w:p>
    <w:p w14:paraId="6DEEB2FC" w14:textId="6703F2F6" w:rsidR="000E5B90" w:rsidRDefault="000E5B90" w:rsidP="000E5B90">
      <w:pPr>
        <w:pStyle w:val="Heading3"/>
      </w:pPr>
      <w:bookmarkStart w:id="16" w:name="_Toc448590620"/>
      <w:bookmarkStart w:id="17" w:name="_Toc292350662"/>
      <w:r>
        <w:t>3.</w:t>
      </w:r>
      <w:r w:rsidR="007806D4">
        <w:t>6</w:t>
      </w:r>
      <w:r>
        <w:t>.2</w:t>
      </w:r>
      <w:r w:rsidRPr="00B466EA">
        <w:t xml:space="preserve"> </w:t>
      </w:r>
      <w:r>
        <w:t>Specification</w:t>
      </w:r>
      <w:bookmarkEnd w:id="16"/>
    </w:p>
    <w:p w14:paraId="0F6CB411" w14:textId="740EC168" w:rsidR="000D48D6" w:rsidRDefault="000D48D6" w:rsidP="007A0EA0">
      <w:pPr>
        <w:rPr>
          <w:rStyle w:val="IntenseReference"/>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33"/>
        <w:gridCol w:w="367"/>
      </w:tblGrid>
      <w:tr w:rsidR="00FC78F1" w:rsidRPr="005613AB"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786"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5026"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79" w:type="dxa"/>
            <w:gridSpan w:val="2"/>
            <w:shd w:val="clear" w:color="auto" w:fill="D9D9D9" w:themeFill="background1" w:themeFillShade="D9"/>
          </w:tcPr>
          <w:p w14:paraId="10B8BFD6" w14:textId="77777777" w:rsidR="000D48D6" w:rsidRPr="005613AB" w:rsidRDefault="000D48D6" w:rsidP="00E70C8A">
            <w:pPr>
              <w:rPr>
                <w:b/>
              </w:rPr>
            </w:pPr>
            <w:r w:rsidRPr="005613AB">
              <w:rPr>
                <w:b/>
              </w:rPr>
              <w:t>DICOM Tag</w:t>
            </w:r>
          </w:p>
        </w:tc>
      </w:tr>
      <w:tr w:rsidR="00FC78F1" w:rsidRPr="00FC77FF" w14:paraId="7BF4BBA0" w14:textId="77777777" w:rsidTr="009E2E29">
        <w:trPr>
          <w:tblCellSpacing w:w="7" w:type="dxa"/>
        </w:trPr>
        <w:tc>
          <w:tcPr>
            <w:tcW w:w="1779" w:type="dxa"/>
            <w:vMerge w:val="restart"/>
            <w:vAlign w:val="center"/>
          </w:tcPr>
          <w:p w14:paraId="2A48343F" w14:textId="7DA8CE13" w:rsidR="000D48D6" w:rsidRPr="009D1E7F" w:rsidRDefault="00CE08CB" w:rsidP="000E30AB">
            <w:r w:rsidRPr="009D1E7F">
              <w:t>Imaging device</w:t>
            </w:r>
          </w:p>
        </w:tc>
        <w:tc>
          <w:tcPr>
            <w:tcW w:w="1786" w:type="dxa"/>
            <w:vAlign w:val="center"/>
          </w:tcPr>
          <w:p w14:paraId="2F091387" w14:textId="2511271E" w:rsidR="005E577D" w:rsidRPr="006D6220" w:rsidRDefault="000E30AB" w:rsidP="009E2E29">
            <w:pPr>
              <w:rPr>
                <w:color w:val="808080" w:themeColor="background1" w:themeShade="80"/>
              </w:rPr>
            </w:pPr>
            <w:r w:rsidRPr="006D6220">
              <w:rPr>
                <w:color w:val="808080" w:themeColor="background1" w:themeShade="80"/>
              </w:rPr>
              <w:t>imaging center and its derivatives standard operating procedures</w:t>
            </w:r>
          </w:p>
        </w:tc>
        <w:tc>
          <w:tcPr>
            <w:tcW w:w="5026" w:type="dxa"/>
            <w:vAlign w:val="center"/>
          </w:tcPr>
          <w:p w14:paraId="7FFEED6D" w14:textId="77777777" w:rsidR="00425483" w:rsidRPr="009D1E7F" w:rsidRDefault="00425483" w:rsidP="009E2E29">
            <w:r w:rsidRPr="009D1E7F">
              <w:t xml:space="preserve">The acquisition device </w:t>
            </w:r>
            <w:r w:rsidRPr="009D1E7F">
              <w:rPr>
                <w:u w:val="single"/>
              </w:rPr>
              <w:t>shall be selected</w:t>
            </w:r>
            <w:r w:rsidRPr="009D1E7F">
              <w:t xml:space="preserve"> to produce comparable results regardless of the scanner make and model. </w:t>
            </w:r>
          </w:p>
          <w:p w14:paraId="16AE7E0A" w14:textId="77777777" w:rsidR="000D48D6" w:rsidRPr="009D1E7F" w:rsidRDefault="00425483" w:rsidP="009E2E29">
            <w:r w:rsidRPr="009D1E7F">
              <w:rPr>
                <w:b/>
                <w:bCs/>
              </w:rPr>
              <w:t>Camera:</w:t>
            </w:r>
            <w:r w:rsidRPr="009D1E7F">
              <w:t xml:space="preserve"> Multi detector SPECT or SPECT/CT cameras shall be used.</w:t>
            </w:r>
          </w:p>
          <w:p w14:paraId="726AD8AC" w14:textId="71B1DD36" w:rsidR="00824E9B" w:rsidRDefault="00425483" w:rsidP="009E2E29">
            <w:r w:rsidRPr="009D1E7F">
              <w:rPr>
                <w:b/>
                <w:bCs/>
              </w:rPr>
              <w:t>Collimator:</w:t>
            </w:r>
            <w:r w:rsidR="00E94542" w:rsidRPr="009D1E7F">
              <w:t xml:space="preserve"> A collimator that </w:t>
            </w:r>
            <w:r w:rsidR="00CF723A">
              <w:t xml:space="preserve">provides </w:t>
            </w:r>
            <w:r w:rsidR="00CF723A" w:rsidRPr="000E30AB">
              <w:t>planar system resolution of &lt; 8 mm  FWHM</w:t>
            </w:r>
            <w:r w:rsidR="00CF723A" w:rsidRPr="00B003DC">
              <w:t xml:space="preserve"> (in ‘air’ at 10 cm distance) </w:t>
            </w:r>
            <w:r w:rsidR="00E94542" w:rsidRPr="009D1E7F">
              <w:t>shall be used</w:t>
            </w:r>
            <w:r w:rsidRPr="009D1E7F">
              <w:t>.</w:t>
            </w:r>
          </w:p>
          <w:p w14:paraId="0A3EF631" w14:textId="732E51DF" w:rsidR="00425483" w:rsidRPr="009D1E7F" w:rsidRDefault="00824E9B" w:rsidP="009E2E29">
            <w:r>
              <w:t>Head Holder: An off-the-bed head holder (with appropriate cushioning) to achieve an acquisition radius of 12-15cm must be used.</w:t>
            </w:r>
            <w:r w:rsidR="00425483" w:rsidRPr="009D1E7F">
              <w:t xml:space="preserve"> </w:t>
            </w:r>
          </w:p>
        </w:tc>
        <w:tc>
          <w:tcPr>
            <w:tcW w:w="1779" w:type="dxa"/>
            <w:gridSpan w:val="2"/>
            <w:vAlign w:val="center"/>
          </w:tcPr>
          <w:p w14:paraId="2C77689B" w14:textId="73F647A8" w:rsidR="000D48D6" w:rsidRPr="00FC77FF" w:rsidRDefault="000D48D6" w:rsidP="009E2E29"/>
        </w:tc>
      </w:tr>
      <w:tr w:rsidR="00FC78F1" w:rsidRPr="00FC77FF" w14:paraId="6977888C" w14:textId="77777777" w:rsidTr="00FC78F1">
        <w:trPr>
          <w:tblCellSpacing w:w="7" w:type="dxa"/>
        </w:trPr>
        <w:tc>
          <w:tcPr>
            <w:tcW w:w="1779" w:type="dxa"/>
            <w:vMerge/>
            <w:vAlign w:val="center"/>
          </w:tcPr>
          <w:p w14:paraId="76CEE79A" w14:textId="3F25F417" w:rsidR="000D48D6" w:rsidRPr="00CE08CB" w:rsidRDefault="000D48D6" w:rsidP="005E4593">
            <w:pPr>
              <w:rPr>
                <w:color w:val="0000FF"/>
              </w:rPr>
            </w:pPr>
          </w:p>
        </w:tc>
        <w:tc>
          <w:tcPr>
            <w:tcW w:w="1786" w:type="dxa"/>
          </w:tcPr>
          <w:p w14:paraId="7A97F029" w14:textId="2A16AF3C" w:rsidR="000D48D6" w:rsidRPr="006D6220" w:rsidRDefault="00CE08CB" w:rsidP="005E4593">
            <w:pPr>
              <w:rPr>
                <w:color w:val="808080" w:themeColor="background1" w:themeShade="80"/>
              </w:rPr>
            </w:pPr>
            <w:r w:rsidRPr="006D6220">
              <w:rPr>
                <w:color w:val="808080" w:themeColor="background1" w:themeShade="80"/>
              </w:rPr>
              <w:t>Technologist</w:t>
            </w:r>
          </w:p>
        </w:tc>
        <w:tc>
          <w:tcPr>
            <w:tcW w:w="5026" w:type="dxa"/>
            <w:vAlign w:val="center"/>
          </w:tcPr>
          <w:p w14:paraId="31E5406B" w14:textId="591A1D22" w:rsidR="000D48D6" w:rsidRPr="009D1E7F" w:rsidDel="00210341" w:rsidRDefault="001742A6" w:rsidP="001742A6">
            <w:r w:rsidRPr="009D1E7F">
              <w:t>Shall be certified by local authorities to operate the instrument in compliance with this profile.</w:t>
            </w:r>
          </w:p>
        </w:tc>
        <w:tc>
          <w:tcPr>
            <w:tcW w:w="1779" w:type="dxa"/>
            <w:gridSpan w:val="2"/>
          </w:tcPr>
          <w:p w14:paraId="42E51586" w14:textId="77777777" w:rsidR="000D48D6" w:rsidRPr="00FC77FF" w:rsidRDefault="000D48D6" w:rsidP="005E4593"/>
        </w:tc>
      </w:tr>
      <w:tr w:rsidR="00FC78F1" w:rsidRPr="005613AB" w14:paraId="2BD4F7D0" w14:textId="77777777" w:rsidTr="009D1E7F">
        <w:trPr>
          <w:gridAfter w:val="1"/>
          <w:wAfter w:w="339" w:type="dxa"/>
          <w:tblHeader/>
          <w:tblCellSpacing w:w="7" w:type="dxa"/>
        </w:trPr>
        <w:tc>
          <w:tcPr>
            <w:tcW w:w="1779"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786"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5026"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419"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FC78F1" w:rsidRPr="00FC77FF" w14:paraId="3B19A2A4" w14:textId="77777777" w:rsidTr="009D1E7F">
        <w:trPr>
          <w:gridAfter w:val="1"/>
          <w:wAfter w:w="339" w:type="dxa"/>
          <w:tblCellSpacing w:w="7" w:type="dxa"/>
        </w:trPr>
        <w:tc>
          <w:tcPr>
            <w:tcW w:w="1779" w:type="dxa"/>
            <w:vMerge w:val="restart"/>
            <w:vAlign w:val="center"/>
          </w:tcPr>
          <w:p w14:paraId="2433B10B" w14:textId="1A90B159" w:rsidR="005B266B" w:rsidRPr="009D1E7F" w:rsidRDefault="005B266B" w:rsidP="00B41D76">
            <w:r w:rsidRPr="009D1E7F">
              <w:t>SPECT Acquisition mode</w:t>
            </w:r>
          </w:p>
        </w:tc>
        <w:tc>
          <w:tcPr>
            <w:tcW w:w="1786" w:type="dxa"/>
            <w:vAlign w:val="center"/>
          </w:tcPr>
          <w:p w14:paraId="6E1BBB99" w14:textId="1CADDE84" w:rsidR="005B266B" w:rsidRPr="009D1E7F" w:rsidRDefault="00F5063F" w:rsidP="00B41D76">
            <w:r w:rsidRPr="006D6220">
              <w:rPr>
                <w:color w:val="808080" w:themeColor="background1" w:themeShade="80"/>
              </w:rPr>
              <w:t>I</w:t>
            </w:r>
            <w:r w:rsidR="000E30AB" w:rsidRPr="006D6220">
              <w:rPr>
                <w:color w:val="808080" w:themeColor="background1" w:themeShade="80"/>
              </w:rPr>
              <w:t>maging center and its applicable standard operating procedures</w:t>
            </w:r>
          </w:p>
        </w:tc>
        <w:tc>
          <w:tcPr>
            <w:tcW w:w="5026" w:type="dxa"/>
            <w:vAlign w:val="center"/>
          </w:tcPr>
          <w:p w14:paraId="61647E8B" w14:textId="3E46CBF7" w:rsidR="005B266B" w:rsidRPr="009D1E7F" w:rsidRDefault="005B266B" w:rsidP="005B266B">
            <w:r w:rsidRPr="009D1E7F">
              <w:t xml:space="preserve">The key SPECT acquisition mode parameters </w:t>
            </w:r>
            <w:r w:rsidRPr="009D1E7F">
              <w:rPr>
                <w:u w:val="single"/>
              </w:rPr>
              <w:t>shall be specified</w:t>
            </w:r>
            <w:r w:rsidRPr="009D1E7F">
              <w:t xml:space="preserve"> in a manner that is expected to produce comparable results regardless of the scanner make and model. The key parameters are:</w:t>
            </w:r>
          </w:p>
          <w:p w14:paraId="208F1E3E" w14:textId="18DA7395" w:rsidR="005B266B" w:rsidRPr="009D1E7F" w:rsidRDefault="005B266B" w:rsidP="005B266B">
            <w:r w:rsidRPr="009D1E7F">
              <w:rPr>
                <w:b/>
                <w:bCs/>
              </w:rPr>
              <w:t>Rotational radius</w:t>
            </w:r>
            <w:r w:rsidRPr="009D1E7F">
              <w:t xml:space="preserve">: shall be fixed at 11 – 15 cm (circular orbit) </w:t>
            </w:r>
            <w:r w:rsidR="007A6465" w:rsidRPr="009D1E7F">
              <w:t>or smallest possible.</w:t>
            </w:r>
            <w:r w:rsidR="005F5E2D">
              <w:t xml:space="preserve"> An off the table head rest is usually needed to achieve this.</w:t>
            </w:r>
          </w:p>
          <w:p w14:paraId="0D371E54" w14:textId="58EEA780" w:rsidR="005B266B" w:rsidRPr="009D1E7F" w:rsidRDefault="005B266B" w:rsidP="005B266B">
            <w:r w:rsidRPr="009D1E7F">
              <w:rPr>
                <w:b/>
                <w:bCs/>
              </w:rPr>
              <w:t>Matrix and pixel</w:t>
            </w:r>
            <w:r w:rsidR="00CF723A">
              <w:rPr>
                <w:b/>
                <w:bCs/>
              </w:rPr>
              <w:t xml:space="preserve"> </w:t>
            </w:r>
            <w:r w:rsidRPr="009D1E7F">
              <w:rPr>
                <w:b/>
                <w:bCs/>
              </w:rPr>
              <w:t>size</w:t>
            </w:r>
            <w:r w:rsidRPr="009D1E7F">
              <w:t>: A matrix size and zoom factor that gives a pixel</w:t>
            </w:r>
            <w:r w:rsidR="000F75CD" w:rsidRPr="009D1E7F">
              <w:t xml:space="preserve"> </w:t>
            </w:r>
            <w:r w:rsidRPr="009D1E7F">
              <w:t>size of one-third to one-half the expected spatial resolution shall be used.   Typically, a 128 x 128 matrix and pixel</w:t>
            </w:r>
            <w:r w:rsidR="000F75CD" w:rsidRPr="009D1E7F">
              <w:t xml:space="preserve"> </w:t>
            </w:r>
            <w:r w:rsidRPr="009D1E7F">
              <w:t xml:space="preserve">size of </w:t>
            </w:r>
            <w:r w:rsidR="00005221" w:rsidRPr="009D1E7F">
              <w:t>no larger than</w:t>
            </w:r>
            <w:r w:rsidRPr="009D1E7F">
              <w:t xml:space="preserve"> 4 mm.</w:t>
            </w:r>
          </w:p>
          <w:p w14:paraId="3D8FC5F4" w14:textId="77777777" w:rsidR="005B266B" w:rsidRPr="009D1E7F" w:rsidRDefault="005B266B" w:rsidP="005B266B">
            <w:r w:rsidRPr="009D1E7F">
              <w:rPr>
                <w:b/>
                <w:bCs/>
              </w:rPr>
              <w:t xml:space="preserve">Angular sampling: </w:t>
            </w:r>
            <w:r w:rsidRPr="009D1E7F">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9D1E7F" w:rsidRDefault="005B266B" w:rsidP="005B266B">
            <w:r w:rsidRPr="009D1E7F">
              <w:rPr>
                <w:b/>
                <w:bCs/>
              </w:rPr>
              <w:t xml:space="preserve">Total counts: </w:t>
            </w:r>
            <w:r w:rsidRPr="009D1E7F">
              <w:t xml:space="preserve">The scan time shall be adjusted to </w:t>
            </w:r>
            <w:r w:rsidRPr="00EC2334">
              <w:t>obtain &gt; 1.5 million total</w:t>
            </w:r>
            <w:r w:rsidRPr="009D1E7F">
              <w:t xml:space="preserve"> counts detected in the </w:t>
            </w:r>
            <w:proofErr w:type="spellStart"/>
            <w:r w:rsidRPr="009D1E7F">
              <w:t>photopeak</w:t>
            </w:r>
            <w:proofErr w:type="spellEnd"/>
            <w:r w:rsidRPr="009D1E7F">
              <w:t xml:space="preserve"> window. Typically, this requires a 25 – 45 min scan.</w:t>
            </w:r>
          </w:p>
          <w:p w14:paraId="1A915D25" w14:textId="36AE234D" w:rsidR="005B266B" w:rsidRPr="009D1E7F" w:rsidRDefault="005B266B" w:rsidP="00AE3027">
            <w:r w:rsidRPr="009D1E7F">
              <w:rPr>
                <w:b/>
                <w:bCs/>
              </w:rPr>
              <w:t xml:space="preserve">Energy windows: </w:t>
            </w:r>
            <w:r w:rsidRPr="009D1E7F">
              <w:t xml:space="preserve">The </w:t>
            </w:r>
            <w:proofErr w:type="spellStart"/>
            <w:r w:rsidRPr="009D1E7F">
              <w:t>photopeak</w:t>
            </w:r>
            <w:proofErr w:type="spellEnd"/>
            <w:r w:rsidRPr="009D1E7F">
              <w:t xml:space="preserve"> window shall be set at 15</w:t>
            </w:r>
            <w:r w:rsidR="00005221" w:rsidRPr="009D1E7F">
              <w:t>9</w:t>
            </w:r>
            <w:r w:rsidRPr="009D1E7F">
              <w:t xml:space="preserve"> </w:t>
            </w:r>
            <w:proofErr w:type="spellStart"/>
            <w:r w:rsidRPr="009D1E7F">
              <w:t>keV</w:t>
            </w:r>
            <w:proofErr w:type="spellEnd"/>
            <w:r w:rsidRPr="009D1E7F">
              <w:t xml:space="preserve"> +- 10% (143 – 175 </w:t>
            </w:r>
            <w:proofErr w:type="spellStart"/>
            <w:r w:rsidRPr="009D1E7F">
              <w:t>keV</w:t>
            </w:r>
            <w:proofErr w:type="spellEnd"/>
            <w:r w:rsidRPr="009D1E7F">
              <w:t xml:space="preserve">). If triple </w:t>
            </w:r>
            <w:r w:rsidRPr="00EC2334">
              <w:lastRenderedPageBreak/>
              <w:t>energy-window based scatter correction is to be used, two additional narrow windows (</w:t>
            </w:r>
            <w:r w:rsidR="00723264" w:rsidRPr="00EC2334">
              <w:t xml:space="preserve">typically </w:t>
            </w:r>
            <w:r w:rsidR="001E4E0A" w:rsidRPr="00EC2334">
              <w:t>7</w:t>
            </w:r>
            <w:r w:rsidRPr="00EC2334">
              <w:t>%</w:t>
            </w:r>
            <w:r w:rsidR="00723264" w:rsidRPr="00EC2334">
              <w:t>)</w:t>
            </w:r>
            <w:r w:rsidRPr="00EC2334">
              <w:t xml:space="preserve"> adjacent to the </w:t>
            </w:r>
            <w:proofErr w:type="spellStart"/>
            <w:r w:rsidRPr="00EC2334">
              <w:t>photopeak</w:t>
            </w:r>
            <w:proofErr w:type="spellEnd"/>
            <w:r w:rsidRPr="00EC2334">
              <w:t xml:space="preserve"> </w:t>
            </w:r>
            <w:r w:rsidR="00ED5A49" w:rsidRPr="00EC2334">
              <w:t xml:space="preserve">or </w:t>
            </w:r>
            <w:r w:rsidR="00EC2334">
              <w:t xml:space="preserve">as </w:t>
            </w:r>
            <w:r w:rsidR="00ED5A49" w:rsidRPr="00EC2334">
              <w:t xml:space="preserve">recommended by the system manufacturer </w:t>
            </w:r>
            <w:r w:rsidRPr="00EC2334">
              <w:t>shall be used.</w:t>
            </w:r>
            <w:r w:rsidRPr="009D1E7F">
              <w:t xml:space="preserve"> </w:t>
            </w:r>
          </w:p>
        </w:tc>
        <w:tc>
          <w:tcPr>
            <w:tcW w:w="1419" w:type="dxa"/>
          </w:tcPr>
          <w:p w14:paraId="55AF248A" w14:textId="77777777" w:rsidR="005B266B" w:rsidRPr="00FC77FF" w:rsidRDefault="005B266B" w:rsidP="00AE3027"/>
        </w:tc>
      </w:tr>
      <w:tr w:rsidR="00FC78F1" w:rsidRPr="00FC77FF" w14:paraId="4A677932" w14:textId="77777777" w:rsidTr="009D1E7F">
        <w:trPr>
          <w:gridAfter w:val="1"/>
          <w:wAfter w:w="339" w:type="dxa"/>
          <w:tblCellSpacing w:w="7" w:type="dxa"/>
        </w:trPr>
        <w:tc>
          <w:tcPr>
            <w:tcW w:w="1779" w:type="dxa"/>
            <w:vMerge/>
            <w:vAlign w:val="center"/>
          </w:tcPr>
          <w:p w14:paraId="6181459E" w14:textId="77777777" w:rsidR="005B266B" w:rsidRPr="00A75FBA" w:rsidRDefault="005B266B" w:rsidP="00AE3027"/>
        </w:tc>
        <w:tc>
          <w:tcPr>
            <w:tcW w:w="1786" w:type="dxa"/>
          </w:tcPr>
          <w:p w14:paraId="3758A8A6" w14:textId="77777777" w:rsidR="005B266B" w:rsidRPr="00B35C4E" w:rsidRDefault="005B266B" w:rsidP="00AE3027">
            <w:r w:rsidRPr="006D6220">
              <w:rPr>
                <w:color w:val="808080" w:themeColor="background1" w:themeShade="80"/>
              </w:rPr>
              <w:t>Technologist</w:t>
            </w:r>
          </w:p>
        </w:tc>
        <w:tc>
          <w:tcPr>
            <w:tcW w:w="5026" w:type="dxa"/>
            <w:vAlign w:val="center"/>
          </w:tcPr>
          <w:p w14:paraId="5F4AB182" w14:textId="7836B3E2" w:rsidR="005B266B" w:rsidRPr="00B35C4E" w:rsidDel="00210341" w:rsidRDefault="001742A6" w:rsidP="00AE3027">
            <w:r w:rsidRPr="00B35C4E">
              <w:t>The technologist shall set up the acquisition, acquire the data, and store the data.</w:t>
            </w:r>
          </w:p>
        </w:tc>
        <w:tc>
          <w:tcPr>
            <w:tcW w:w="1419" w:type="dxa"/>
          </w:tcPr>
          <w:p w14:paraId="4F88B3D3" w14:textId="77777777" w:rsidR="005B266B" w:rsidRPr="00FC77FF" w:rsidRDefault="005B266B" w:rsidP="00AE3027"/>
        </w:tc>
      </w:tr>
    </w:tbl>
    <w:p w14:paraId="72F051FF" w14:textId="77777777" w:rsidR="008E2B75" w:rsidRDefault="008E2B75" w:rsidP="000D48D6"/>
    <w:p w14:paraId="0500BCED" w14:textId="028AF47B" w:rsidR="00814400" w:rsidRPr="00705605" w:rsidRDefault="00814400" w:rsidP="006D6220">
      <w:r w:rsidRPr="006D6220">
        <w:rPr>
          <w:b/>
        </w:rPr>
        <w:t>CT Acquisition</w:t>
      </w: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5613AB"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786"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5026"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419"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FC78F1">
        <w:trPr>
          <w:tblCellSpacing w:w="7" w:type="dxa"/>
        </w:trPr>
        <w:tc>
          <w:tcPr>
            <w:tcW w:w="1779" w:type="dxa"/>
            <w:vMerge w:val="restart"/>
            <w:vAlign w:val="center"/>
          </w:tcPr>
          <w:p w14:paraId="3C410C96" w14:textId="0A530F70" w:rsidR="009F4133" w:rsidRPr="00705605" w:rsidRDefault="009F4133" w:rsidP="00AE3027">
            <w:r w:rsidRPr="00705605">
              <w:t>CT Acquisition mode</w:t>
            </w:r>
          </w:p>
        </w:tc>
        <w:tc>
          <w:tcPr>
            <w:tcW w:w="1786" w:type="dxa"/>
            <w:vAlign w:val="center"/>
          </w:tcPr>
          <w:p w14:paraId="268C9FA0" w14:textId="50470121" w:rsidR="009F4133" w:rsidRPr="006D6220" w:rsidRDefault="00F5063F" w:rsidP="00B41D76">
            <w:pPr>
              <w:rPr>
                <w:color w:val="808080" w:themeColor="background1" w:themeShade="80"/>
              </w:rPr>
            </w:pPr>
            <w:r w:rsidRPr="006D6220">
              <w:rPr>
                <w:color w:val="808080" w:themeColor="background1" w:themeShade="80"/>
              </w:rPr>
              <w:t>I</w:t>
            </w:r>
            <w:r w:rsidR="000E30AB" w:rsidRPr="006D6220">
              <w:rPr>
                <w:color w:val="808080" w:themeColor="background1" w:themeShade="80"/>
              </w:rPr>
              <w:t>maging center and its applicable standard operating procedures</w:t>
            </w:r>
          </w:p>
        </w:tc>
        <w:tc>
          <w:tcPr>
            <w:tcW w:w="5026" w:type="dxa"/>
            <w:vAlign w:val="center"/>
          </w:tcPr>
          <w:p w14:paraId="23828422" w14:textId="3025BA4A" w:rsidR="0016513C" w:rsidRPr="00705605" w:rsidRDefault="009F4133" w:rsidP="009F4133">
            <w:r w:rsidRPr="00705605">
              <w:t>The key CT acquisition mode parameters (</w:t>
            </w:r>
            <w:proofErr w:type="spellStart"/>
            <w:r w:rsidRPr="00705605">
              <w:t>kVp</w:t>
            </w:r>
            <w:proofErr w:type="spellEnd"/>
            <w:r w:rsidRPr="00705605">
              <w:t xml:space="preserve">, </w:t>
            </w:r>
            <w:proofErr w:type="spellStart"/>
            <w:r w:rsidRPr="00705605">
              <w:t>mAs</w:t>
            </w:r>
            <w:proofErr w:type="spellEnd"/>
            <w:r w:rsidRPr="00705605">
              <w:t>, pitch, and collimation) shall be specified in a manner that is expected to produce comparable results regardless of the scanner make and model</w:t>
            </w:r>
            <w:r w:rsidR="004654C1" w:rsidRPr="00705605">
              <w:t>,</w:t>
            </w:r>
            <w:r w:rsidRPr="00705605">
              <w:t xml:space="preserve"> and with the lowest radiation doses consistent for the role of the CT scan: correction for attenuation and for localization. </w:t>
            </w:r>
          </w:p>
          <w:p w14:paraId="48B2E394" w14:textId="77777777" w:rsidR="0016513C" w:rsidRPr="00705605" w:rsidRDefault="0016513C" w:rsidP="009F4133"/>
          <w:p w14:paraId="76ECF8EB" w14:textId="0B569F79" w:rsidR="009F4133" w:rsidRPr="00705605" w:rsidRDefault="009F4133" w:rsidP="009F4133">
            <w:r w:rsidRPr="00705605">
              <w:t xml:space="preserve">The CT acquisition mode shall utilize the protocol that delivers the lowest possible amount of radiation dose to the subject (e.g. </w:t>
            </w:r>
            <w:r w:rsidR="004654C1" w:rsidRPr="00705605">
              <w:t xml:space="preserve">a relatively </w:t>
            </w:r>
            <w:r w:rsidRPr="00705605">
              <w:t xml:space="preserve">low dose protocol) that retains the quantitative accuracy of corrections for attenuation. </w:t>
            </w:r>
          </w:p>
          <w:p w14:paraId="73443831" w14:textId="2F83FB87" w:rsidR="009F4133" w:rsidRPr="00705605" w:rsidRDefault="009F4133" w:rsidP="00AE3027"/>
        </w:tc>
        <w:tc>
          <w:tcPr>
            <w:tcW w:w="1419" w:type="dxa"/>
          </w:tcPr>
          <w:p w14:paraId="1B2C9B8D" w14:textId="77777777" w:rsidR="009F4133" w:rsidRPr="00FC77FF" w:rsidRDefault="009F4133" w:rsidP="00AE3027"/>
        </w:tc>
      </w:tr>
      <w:tr w:rsidR="009F4133" w:rsidRPr="00FC77FF" w14:paraId="2E61A3FE" w14:textId="77777777" w:rsidTr="00FC78F1">
        <w:trPr>
          <w:tblCellSpacing w:w="7" w:type="dxa"/>
        </w:trPr>
        <w:tc>
          <w:tcPr>
            <w:tcW w:w="1779" w:type="dxa"/>
            <w:vMerge/>
            <w:vAlign w:val="center"/>
          </w:tcPr>
          <w:p w14:paraId="66894E3F" w14:textId="77777777" w:rsidR="009F4133" w:rsidRPr="00705605" w:rsidRDefault="009F4133" w:rsidP="00AE3027"/>
        </w:tc>
        <w:tc>
          <w:tcPr>
            <w:tcW w:w="1786" w:type="dxa"/>
            <w:vAlign w:val="center"/>
          </w:tcPr>
          <w:p w14:paraId="3C8BC00C" w14:textId="77777777" w:rsidR="009F4133" w:rsidRPr="006D6220" w:rsidRDefault="009F4133" w:rsidP="00B41D76">
            <w:pPr>
              <w:rPr>
                <w:color w:val="808080" w:themeColor="background1" w:themeShade="80"/>
              </w:rPr>
            </w:pPr>
            <w:r w:rsidRPr="006D6220">
              <w:rPr>
                <w:color w:val="808080" w:themeColor="background1" w:themeShade="80"/>
              </w:rPr>
              <w:t>Technologist</w:t>
            </w:r>
          </w:p>
        </w:tc>
        <w:tc>
          <w:tcPr>
            <w:tcW w:w="5026" w:type="dxa"/>
            <w:vAlign w:val="center"/>
          </w:tcPr>
          <w:p w14:paraId="18022800" w14:textId="77777777" w:rsidR="009F4133" w:rsidRPr="00705605" w:rsidRDefault="009F4133" w:rsidP="009F4133">
            <w:r w:rsidRPr="00705605">
              <w:t>The key CT acquisition mode parameters (</w:t>
            </w:r>
            <w:proofErr w:type="spellStart"/>
            <w:r w:rsidRPr="00705605">
              <w:t>kVp</w:t>
            </w:r>
            <w:proofErr w:type="spellEnd"/>
            <w:r w:rsidRPr="00705605">
              <w:t xml:space="preserve">, </w:t>
            </w:r>
            <w:proofErr w:type="spellStart"/>
            <w:r w:rsidRPr="00705605">
              <w:t>mAs</w:t>
            </w:r>
            <w:proofErr w:type="spellEnd"/>
            <w:r w:rsidRPr="00705605">
              <w:t xml:space="preserve">, pitch, and collimation) shall be set as specified by study protocol and used consistently for all subject scans. </w:t>
            </w:r>
          </w:p>
          <w:p w14:paraId="58535B2F" w14:textId="77777777" w:rsidR="009F4133" w:rsidRPr="00705605" w:rsidDel="00210341" w:rsidRDefault="009F4133" w:rsidP="00AE3027"/>
        </w:tc>
        <w:tc>
          <w:tcPr>
            <w:tcW w:w="1419"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5613AB"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786"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5026"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419"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FC78F1">
        <w:trPr>
          <w:tblCellSpacing w:w="7" w:type="dxa"/>
        </w:trPr>
        <w:tc>
          <w:tcPr>
            <w:tcW w:w="1779" w:type="dxa"/>
            <w:vMerge w:val="restart"/>
            <w:vAlign w:val="center"/>
          </w:tcPr>
          <w:p w14:paraId="63860BD3" w14:textId="77777777" w:rsidR="005C1C5B" w:rsidRPr="00ED5902" w:rsidRDefault="005C1C5B" w:rsidP="005C1C5B">
            <w:r w:rsidRPr="00ED5902">
              <w:rPr>
                <w:bCs/>
              </w:rPr>
              <w:t xml:space="preserve">CT Technique: Protocol Design </w:t>
            </w:r>
          </w:p>
          <w:p w14:paraId="3E41EC24" w14:textId="1C2C7FC9" w:rsidR="005C1C5B" w:rsidRPr="00ED5902" w:rsidRDefault="005C1C5B" w:rsidP="00AE3027"/>
        </w:tc>
        <w:tc>
          <w:tcPr>
            <w:tcW w:w="1786" w:type="dxa"/>
            <w:vAlign w:val="center"/>
          </w:tcPr>
          <w:p w14:paraId="203AE7D3" w14:textId="77777777" w:rsidR="005C1C5B" w:rsidRPr="006D6220" w:rsidRDefault="005C1C5B" w:rsidP="00B41D76">
            <w:pPr>
              <w:rPr>
                <w:color w:val="808080" w:themeColor="background1" w:themeShade="80"/>
              </w:rPr>
            </w:pPr>
            <w:r w:rsidRPr="006D6220">
              <w:rPr>
                <w:bCs/>
                <w:color w:val="808080" w:themeColor="background1" w:themeShade="80"/>
              </w:rPr>
              <w:t xml:space="preserve">Technologist / Physician / Medical Physicist </w:t>
            </w:r>
          </w:p>
          <w:p w14:paraId="020CF0E2" w14:textId="65A2955B" w:rsidR="005C1C5B" w:rsidRPr="00ED5902" w:rsidRDefault="005C1C5B" w:rsidP="00B41D76"/>
        </w:tc>
        <w:tc>
          <w:tcPr>
            <w:tcW w:w="5026" w:type="dxa"/>
            <w:vAlign w:val="center"/>
          </w:tcPr>
          <w:p w14:paraId="2715989A" w14:textId="5AADA07D" w:rsidR="005C1C5B" w:rsidRPr="00C643A2" w:rsidRDefault="005C1C5B" w:rsidP="005C1C5B">
            <w:r w:rsidRPr="00B37CE9">
              <w:t xml:space="preserve"> A team comprising a Technologist / Physician / Medical Physicist shall ensure that CT techniques protocols are designed such that dose exposure is the lowest radiation dose necessary to achieve the objective.</w:t>
            </w:r>
            <w:r w:rsidRPr="00102D5A">
              <w:t xml:space="preserve"> </w:t>
            </w:r>
          </w:p>
          <w:p w14:paraId="382C4ADE" w14:textId="77777777" w:rsidR="0016513C" w:rsidRPr="00020992" w:rsidRDefault="0016513C" w:rsidP="005C1C5B"/>
          <w:p w14:paraId="028C0FC2" w14:textId="77777777" w:rsidR="005C1C5B" w:rsidRPr="00772765" w:rsidRDefault="005C1C5B" w:rsidP="005C1C5B">
            <w:r w:rsidRPr="00EB19EE">
              <w:t xml:space="preserve">Protocols defined by Image Gently and Image Wisely should be used where feasible. </w:t>
            </w:r>
          </w:p>
          <w:p w14:paraId="164105BC" w14:textId="77777777" w:rsidR="0016513C" w:rsidRPr="000355B8" w:rsidRDefault="0016513C" w:rsidP="005C1C5B"/>
          <w:p w14:paraId="524547B6" w14:textId="77777777" w:rsidR="005C1C5B" w:rsidRPr="005103EF" w:rsidRDefault="005C1C5B" w:rsidP="005C1C5B">
            <w:r w:rsidRPr="005103EF">
              <w:lastRenderedPageBreak/>
              <w:t xml:space="preserve">The protocol shall be recorded and documented. </w:t>
            </w:r>
          </w:p>
          <w:p w14:paraId="1ABEA10B" w14:textId="3746716E" w:rsidR="005C1C5B" w:rsidRPr="00B37CE9" w:rsidRDefault="005C1C5B" w:rsidP="005C1C5B"/>
        </w:tc>
        <w:tc>
          <w:tcPr>
            <w:tcW w:w="1419" w:type="dxa"/>
          </w:tcPr>
          <w:p w14:paraId="1E34D606" w14:textId="77777777" w:rsidR="005C1C5B" w:rsidRPr="00FC77FF" w:rsidRDefault="005C1C5B" w:rsidP="00AE3027"/>
        </w:tc>
      </w:tr>
      <w:tr w:rsidR="005C1C5B" w:rsidRPr="00FC77FF" w14:paraId="0437E62A" w14:textId="77777777" w:rsidTr="00FC78F1">
        <w:trPr>
          <w:tblCellSpacing w:w="7" w:type="dxa"/>
        </w:trPr>
        <w:tc>
          <w:tcPr>
            <w:tcW w:w="1779" w:type="dxa"/>
            <w:vMerge/>
            <w:vAlign w:val="center"/>
          </w:tcPr>
          <w:p w14:paraId="5B48CB88" w14:textId="77777777" w:rsidR="005C1C5B" w:rsidRPr="005C1C5B" w:rsidRDefault="005C1C5B" w:rsidP="00AE3027">
            <w:pPr>
              <w:rPr>
                <w:color w:val="0000FF"/>
              </w:rPr>
            </w:pPr>
          </w:p>
        </w:tc>
        <w:tc>
          <w:tcPr>
            <w:tcW w:w="1786" w:type="dxa"/>
            <w:vAlign w:val="center"/>
          </w:tcPr>
          <w:p w14:paraId="12B512D3" w14:textId="77777777" w:rsidR="005C1C5B" w:rsidRPr="00B37CE9" w:rsidRDefault="005C1C5B" w:rsidP="00B41D76">
            <w:r w:rsidRPr="006D6220">
              <w:rPr>
                <w:color w:val="808080" w:themeColor="background1" w:themeShade="80"/>
              </w:rPr>
              <w:t>Technologist</w:t>
            </w:r>
          </w:p>
        </w:tc>
        <w:tc>
          <w:tcPr>
            <w:tcW w:w="5026" w:type="dxa"/>
            <w:vAlign w:val="center"/>
          </w:tcPr>
          <w:p w14:paraId="5CE6377A" w14:textId="7910BC85" w:rsidR="005C1C5B" w:rsidRPr="00B37CE9" w:rsidDel="00210341" w:rsidRDefault="004654C1" w:rsidP="004654C1">
            <w:r w:rsidRPr="00B37CE9">
              <w:t xml:space="preserve">The technologist shall ensure that the CT dose conforms to the dose prescribed by the supervising physician or protocol. </w:t>
            </w:r>
          </w:p>
        </w:tc>
        <w:tc>
          <w:tcPr>
            <w:tcW w:w="1419" w:type="dxa"/>
          </w:tcPr>
          <w:p w14:paraId="06EB1958" w14:textId="77777777" w:rsidR="005C1C5B" w:rsidRPr="00FC77FF" w:rsidRDefault="005C1C5B" w:rsidP="00AE3027"/>
        </w:tc>
      </w:tr>
    </w:tbl>
    <w:p w14:paraId="7D05C525" w14:textId="77777777" w:rsidR="005C1C5B" w:rsidRDefault="005C1C5B" w:rsidP="005C1C5B"/>
    <w:p w14:paraId="30D72C78" w14:textId="7CBA5197" w:rsidR="000D48D6" w:rsidRDefault="000D48D6" w:rsidP="000D48D6">
      <w:pPr>
        <w:pStyle w:val="Heading2"/>
      </w:pPr>
      <w:bookmarkStart w:id="18" w:name="_Toc448590622"/>
      <w:r>
        <w:t>3.</w:t>
      </w:r>
      <w:r w:rsidR="007806D4">
        <w:t>7</w:t>
      </w:r>
      <w:r>
        <w:t xml:space="preserve">. </w:t>
      </w:r>
      <w:r w:rsidRPr="00D92917">
        <w:t>Imag</w:t>
      </w:r>
      <w:r>
        <w:t>e</w:t>
      </w:r>
      <w:r w:rsidRPr="00D92917">
        <w:t xml:space="preserve"> Data Reconstruction</w:t>
      </w:r>
      <w:bookmarkEnd w:id="17"/>
      <w:bookmarkEnd w:id="18"/>
    </w:p>
    <w:p w14:paraId="72741757" w14:textId="1B7198D2" w:rsidR="007A0EA0" w:rsidRPr="00B466EA" w:rsidRDefault="007A0EA0" w:rsidP="007A0EA0">
      <w:pPr>
        <w:pStyle w:val="Heading3"/>
      </w:pPr>
      <w:bookmarkStart w:id="19" w:name="_Toc448590624"/>
      <w:bookmarkStart w:id="20" w:name="_Toc292350663"/>
      <w:r w:rsidRPr="00B466EA">
        <w:t>3.</w:t>
      </w:r>
      <w:r w:rsidR="007806D4">
        <w:t>7</w:t>
      </w:r>
      <w:r>
        <w:t>.2</w:t>
      </w:r>
      <w:r w:rsidRPr="00B466EA">
        <w:t xml:space="preserve"> </w:t>
      </w:r>
      <w:r>
        <w:t>S</w:t>
      </w:r>
      <w:r w:rsidR="006731DD">
        <w:t>pecification</w:t>
      </w:r>
      <w:bookmarkEnd w:id="19"/>
    </w:p>
    <w:p w14:paraId="167F7BB6" w14:textId="28EC55FF" w:rsidR="000D48D6" w:rsidRPr="009C7534" w:rsidRDefault="000D48D6" w:rsidP="007A0EA0">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FC77FF" w14:paraId="138E9070" w14:textId="77777777" w:rsidTr="00394CA5">
        <w:trPr>
          <w:tblHeader/>
          <w:tblCellSpacing w:w="7" w:type="dxa"/>
        </w:trPr>
        <w:tc>
          <w:tcPr>
            <w:tcW w:w="1779" w:type="dxa"/>
            <w:shd w:val="clear" w:color="auto" w:fill="D9D9D9" w:themeFill="background1" w:themeFillShade="D9"/>
            <w:vAlign w:val="center"/>
          </w:tcPr>
          <w:p w14:paraId="33B9A645" w14:textId="77777777" w:rsidR="000D48D6" w:rsidRPr="005613AB" w:rsidRDefault="000D48D6" w:rsidP="00FC78F1">
            <w:pPr>
              <w:rPr>
                <w:b/>
              </w:rPr>
            </w:pPr>
            <w:r w:rsidRPr="005613AB">
              <w:rPr>
                <w:b/>
              </w:rPr>
              <w:t>Parameter</w:t>
            </w:r>
          </w:p>
        </w:tc>
        <w:tc>
          <w:tcPr>
            <w:tcW w:w="1786" w:type="dxa"/>
            <w:shd w:val="clear" w:color="auto" w:fill="D9D9D9" w:themeFill="background1" w:themeFillShade="D9"/>
            <w:vAlign w:val="center"/>
          </w:tcPr>
          <w:p w14:paraId="742C84E6" w14:textId="77777777" w:rsidR="000D48D6" w:rsidRPr="005613AB" w:rsidRDefault="000D48D6" w:rsidP="00191817">
            <w:pPr>
              <w:rPr>
                <w:b/>
              </w:rPr>
            </w:pPr>
            <w:r w:rsidRPr="005613AB">
              <w:rPr>
                <w:b/>
              </w:rPr>
              <w:t>Actor</w:t>
            </w:r>
          </w:p>
        </w:tc>
        <w:tc>
          <w:tcPr>
            <w:tcW w:w="6459" w:type="dxa"/>
            <w:shd w:val="clear" w:color="auto" w:fill="D9D9D9" w:themeFill="background1" w:themeFillShade="D9"/>
            <w:vAlign w:val="center"/>
          </w:tcPr>
          <w:p w14:paraId="6AF3519B" w14:textId="77777777" w:rsidR="000D48D6" w:rsidRPr="000E5B90" w:rsidRDefault="000D48D6" w:rsidP="00191817">
            <w:pPr>
              <w:rPr>
                <w:b/>
              </w:rPr>
            </w:pPr>
            <w:r w:rsidRPr="000E5B90">
              <w:rPr>
                <w:b/>
              </w:rPr>
              <w:t>Requirement</w:t>
            </w:r>
          </w:p>
        </w:tc>
      </w:tr>
      <w:tr w:rsidR="0046240C" w:rsidRPr="00FC77FF" w14:paraId="00D9F834" w14:textId="77777777" w:rsidTr="00394CA5">
        <w:trPr>
          <w:tblCellSpacing w:w="7" w:type="dxa"/>
        </w:trPr>
        <w:tc>
          <w:tcPr>
            <w:tcW w:w="1779" w:type="dxa"/>
            <w:vMerge w:val="restart"/>
            <w:vAlign w:val="center"/>
          </w:tcPr>
          <w:p w14:paraId="5F47C62B" w14:textId="4A069C6D" w:rsidR="0046240C" w:rsidRPr="00FC77FF" w:rsidRDefault="00A06C0E" w:rsidP="00FC78F1">
            <w:r>
              <w:t>SPECT Image Reconstruction</w:t>
            </w:r>
          </w:p>
        </w:tc>
        <w:tc>
          <w:tcPr>
            <w:tcW w:w="1786" w:type="dxa"/>
            <w:vAlign w:val="center"/>
          </w:tcPr>
          <w:p w14:paraId="6BD4B109" w14:textId="6F79CB95" w:rsidR="0046240C" w:rsidRPr="006D6220" w:rsidRDefault="00A06C0E" w:rsidP="00191817">
            <w:pPr>
              <w:rPr>
                <w:color w:val="808080" w:themeColor="background1" w:themeShade="80"/>
              </w:rPr>
            </w:pPr>
            <w:r w:rsidRPr="006D6220">
              <w:rPr>
                <w:color w:val="808080" w:themeColor="background1" w:themeShade="80"/>
              </w:rPr>
              <w:t xml:space="preserve">Study Sponsor </w:t>
            </w:r>
            <w:r w:rsidR="000E30AB" w:rsidRPr="006D6220">
              <w:rPr>
                <w:color w:val="808080" w:themeColor="background1" w:themeShade="80"/>
              </w:rPr>
              <w:t xml:space="preserve">and </w:t>
            </w:r>
          </w:p>
          <w:p w14:paraId="5F8A4346" w14:textId="1BBE3770" w:rsidR="00A06C0E" w:rsidRPr="006D6220" w:rsidRDefault="00A06C0E" w:rsidP="000E30AB">
            <w:pPr>
              <w:rPr>
                <w:color w:val="808080" w:themeColor="background1" w:themeShade="80"/>
              </w:rPr>
            </w:pPr>
            <w:r w:rsidRPr="006D6220">
              <w:rPr>
                <w:color w:val="808080" w:themeColor="background1" w:themeShade="80"/>
              </w:rPr>
              <w:t>Medical Physicist</w:t>
            </w:r>
            <w:r w:rsidR="000E30AB" w:rsidRPr="006D6220">
              <w:rPr>
                <w:color w:val="808080" w:themeColor="background1" w:themeShade="80"/>
              </w:rPr>
              <w:t xml:space="preserve"> and imaging center and its applicable standard operating procedures</w:t>
            </w:r>
          </w:p>
        </w:tc>
        <w:tc>
          <w:tcPr>
            <w:tcW w:w="6459" w:type="dxa"/>
            <w:vAlign w:val="center"/>
          </w:tcPr>
          <w:p w14:paraId="792081B0" w14:textId="77777777" w:rsidR="00A06C0E" w:rsidRPr="00A06C0E" w:rsidRDefault="00A06C0E" w:rsidP="00A06C0E">
            <w:r w:rsidRPr="00A06C0E">
              <w:t xml:space="preserve">The key SPECT reconstruction parameters (algorithm, iterations, smoothing, field of view, voxel size) shall be specified in a manner that is expected to produce comparable results regardless of the scanner make and model. </w:t>
            </w:r>
          </w:p>
          <w:p w14:paraId="5643C499" w14:textId="6AB7330B" w:rsidR="0046240C" w:rsidRPr="00ED4811" w:rsidRDefault="00A06C0E" w:rsidP="00191817">
            <w:pPr>
              <w:rPr>
                <w:color w:val="808080" w:themeColor="background1" w:themeShade="80"/>
              </w:rPr>
            </w:pPr>
            <w:r w:rsidRPr="00ED4811">
              <w:rPr>
                <w:color w:val="808080" w:themeColor="background1" w:themeShade="80"/>
              </w:rPr>
              <w:t xml:space="preserve">The key SPECT image reconstruction parameters shall be specified according to pre-determined harmonization parameters. </w:t>
            </w:r>
          </w:p>
        </w:tc>
      </w:tr>
      <w:tr w:rsidR="0046240C" w:rsidRPr="00FC77FF" w14:paraId="2EA6A538" w14:textId="77777777" w:rsidTr="00394CA5">
        <w:trPr>
          <w:tblCellSpacing w:w="7" w:type="dxa"/>
        </w:trPr>
        <w:tc>
          <w:tcPr>
            <w:tcW w:w="1779" w:type="dxa"/>
            <w:vMerge/>
            <w:vAlign w:val="center"/>
          </w:tcPr>
          <w:p w14:paraId="45139578" w14:textId="5998A0C7" w:rsidR="0046240C" w:rsidRPr="00FC77FF" w:rsidRDefault="0046240C" w:rsidP="00191817"/>
        </w:tc>
        <w:tc>
          <w:tcPr>
            <w:tcW w:w="1786" w:type="dxa"/>
            <w:vAlign w:val="center"/>
          </w:tcPr>
          <w:p w14:paraId="1B59E760" w14:textId="7A3AB9A5" w:rsidR="0046240C" w:rsidRPr="006D6220" w:rsidRDefault="00A06C0E" w:rsidP="00191817">
            <w:pPr>
              <w:rPr>
                <w:color w:val="808080" w:themeColor="background1" w:themeShade="80"/>
              </w:rPr>
            </w:pPr>
            <w:r w:rsidRPr="006D6220">
              <w:rPr>
                <w:color w:val="808080" w:themeColor="background1" w:themeShade="80"/>
              </w:rPr>
              <w:t>Technologist</w:t>
            </w:r>
          </w:p>
        </w:tc>
        <w:tc>
          <w:tcPr>
            <w:tcW w:w="6459" w:type="dxa"/>
            <w:vAlign w:val="center"/>
          </w:tcPr>
          <w:p w14:paraId="630E1774" w14:textId="09277B38" w:rsidR="0046240C" w:rsidRPr="00FC77FF" w:rsidDel="00210341" w:rsidRDefault="00A06C0E" w:rsidP="00191817">
            <w:r w:rsidRPr="00A06C0E">
              <w:t xml:space="preserve">The key SPECT reconstruction parameters (algorithm, iterations, smoothing, field of view, voxel size) shall be followed and set as specified in order to produce </w:t>
            </w:r>
            <w:r w:rsidRPr="00ED4811">
              <w:t>comparable</w:t>
            </w:r>
            <w:r w:rsidRPr="00A06C0E">
              <w:t xml:space="preserve"> results regardless of the scanner make and model. </w:t>
            </w:r>
          </w:p>
        </w:tc>
      </w:tr>
      <w:tr w:rsidR="00ED4811" w:rsidRPr="00FC77FF" w14:paraId="02830AE9" w14:textId="77777777" w:rsidTr="00ED4811">
        <w:trPr>
          <w:trHeight w:val="894"/>
          <w:tblCellSpacing w:w="7" w:type="dxa"/>
        </w:trPr>
        <w:tc>
          <w:tcPr>
            <w:tcW w:w="1779" w:type="dxa"/>
            <w:vAlign w:val="center"/>
          </w:tcPr>
          <w:p w14:paraId="5F5706CE" w14:textId="77777777" w:rsidR="00ED4811" w:rsidRPr="00ED4811" w:rsidRDefault="00ED4811" w:rsidP="00ED4811">
            <w:r w:rsidRPr="00ED4811">
              <w:t>SPECT Matrix/Voxel size</w:t>
            </w:r>
          </w:p>
          <w:p w14:paraId="66302CC0" w14:textId="77777777" w:rsidR="00ED4811" w:rsidRPr="00FC77FF" w:rsidRDefault="00ED4811" w:rsidP="00191817"/>
        </w:tc>
        <w:tc>
          <w:tcPr>
            <w:tcW w:w="1786" w:type="dxa"/>
            <w:vAlign w:val="center"/>
          </w:tcPr>
          <w:p w14:paraId="6131C253" w14:textId="2BEB2A1D" w:rsidR="00ED4811" w:rsidRPr="006D6220" w:rsidRDefault="00ED4811" w:rsidP="00191817">
            <w:pPr>
              <w:rPr>
                <w:color w:val="808080" w:themeColor="background1" w:themeShade="80"/>
              </w:rPr>
            </w:pPr>
            <w:r w:rsidRPr="006D6220">
              <w:rPr>
                <w:color w:val="808080" w:themeColor="background1" w:themeShade="80"/>
              </w:rPr>
              <w:t>Technologist</w:t>
            </w:r>
          </w:p>
        </w:tc>
        <w:tc>
          <w:tcPr>
            <w:tcW w:w="6459" w:type="dxa"/>
            <w:vAlign w:val="center"/>
          </w:tcPr>
          <w:p w14:paraId="6C1F7029" w14:textId="77777777" w:rsidR="00ED4811" w:rsidRPr="00ED4811" w:rsidRDefault="00ED4811" w:rsidP="00ED4811">
            <w:r w:rsidRPr="00ED4811">
              <w:t xml:space="preserve">The Technologist shall perform the image reconstruction such that the matrix, slice thickness, and reconstruction zoom shall yield a voxel size of &lt; 4 mm (same as projection bin size) in all three dimensions, although not necessarily isotropic. </w:t>
            </w:r>
          </w:p>
          <w:p w14:paraId="4CF8DEAA" w14:textId="5D488DEE" w:rsidR="00ED4811" w:rsidRPr="00A06C0E" w:rsidRDefault="00ED4811" w:rsidP="00191817">
            <w:r w:rsidRPr="00ED4811">
              <w:t xml:space="preserve">The final size shall not be achieved by re-binning, etc., of the reconstructed images. </w:t>
            </w:r>
          </w:p>
        </w:tc>
      </w:tr>
      <w:tr w:rsidR="00705ABA" w:rsidRPr="00FC77FF" w14:paraId="2DA5159E" w14:textId="77777777" w:rsidTr="00ED4811">
        <w:trPr>
          <w:trHeight w:val="894"/>
          <w:tblCellSpacing w:w="7" w:type="dxa"/>
        </w:trPr>
        <w:tc>
          <w:tcPr>
            <w:tcW w:w="1779" w:type="dxa"/>
            <w:vAlign w:val="center"/>
          </w:tcPr>
          <w:p w14:paraId="4DCEE970" w14:textId="313B08C5" w:rsidR="00705ABA" w:rsidRPr="00ED4811" w:rsidRDefault="00705ABA" w:rsidP="00ED4811">
            <w:r>
              <w:t>Correction: Attenuation</w:t>
            </w:r>
          </w:p>
        </w:tc>
        <w:tc>
          <w:tcPr>
            <w:tcW w:w="1786" w:type="dxa"/>
            <w:vAlign w:val="center"/>
          </w:tcPr>
          <w:p w14:paraId="15DE5A6A" w14:textId="10B5B436" w:rsidR="00705ABA" w:rsidRPr="006D6220" w:rsidRDefault="00705ABA" w:rsidP="00191817">
            <w:pPr>
              <w:rPr>
                <w:color w:val="808080" w:themeColor="background1" w:themeShade="80"/>
              </w:rPr>
            </w:pPr>
            <w:r w:rsidRPr="006D6220">
              <w:rPr>
                <w:color w:val="808080" w:themeColor="background1" w:themeShade="80"/>
              </w:rPr>
              <w:t>Technologist</w:t>
            </w:r>
          </w:p>
        </w:tc>
        <w:tc>
          <w:tcPr>
            <w:tcW w:w="6459" w:type="dxa"/>
            <w:vAlign w:val="center"/>
          </w:tcPr>
          <w:p w14:paraId="36016792" w14:textId="77777777" w:rsidR="00705ABA" w:rsidRPr="00705ABA" w:rsidRDefault="00705ABA" w:rsidP="00705ABA">
            <w:r w:rsidRPr="00705ABA">
              <w:t xml:space="preserve">Uniform or non-uniform attenuation correction shall be included in the reconstruction. </w:t>
            </w:r>
          </w:p>
          <w:p w14:paraId="6EEF24AD" w14:textId="3C00BD2A" w:rsidR="00705ABA" w:rsidRPr="00705ABA" w:rsidRDefault="00705ABA" w:rsidP="000D4AC6">
            <w:r w:rsidRPr="00705ABA">
              <w:t xml:space="preserve">For uniform correction a narrow beam attenuation coefficient of </w:t>
            </w:r>
            <w:r w:rsidRPr="00903361">
              <w:t>0.148 cm</w:t>
            </w:r>
            <w:r w:rsidRPr="00705ABA">
              <w:rPr>
                <w:vertAlign w:val="superscript"/>
              </w:rPr>
              <w:t>-1</w:t>
            </w:r>
            <w:r w:rsidRPr="00705ABA">
              <w:t xml:space="preserve"> shall be used when scatter correction is included while a broad beam attenuation coefficient of </w:t>
            </w:r>
            <w:r w:rsidRPr="00E916B1">
              <w:t>0.11 cm</w:t>
            </w:r>
            <w:r w:rsidRPr="00E916B1">
              <w:rPr>
                <w:vertAlign w:val="superscript"/>
              </w:rPr>
              <w:t>-1</w:t>
            </w:r>
            <w:r w:rsidRPr="00705ABA">
              <w:t xml:space="preserve"> shall be used when scatter correction is not included.</w:t>
            </w:r>
          </w:p>
          <w:p w14:paraId="0E3F4E22" w14:textId="383273B9" w:rsidR="00705ABA" w:rsidRPr="00ED4811" w:rsidRDefault="00705ABA" w:rsidP="00705ABA">
            <w:r w:rsidRPr="00705ABA">
              <w:t xml:space="preserve">For non-uniform attenuation correction the attenuation map shall be </w:t>
            </w:r>
            <w:r>
              <w:t>obtained by a transmission measurement or x-ray CT (preferred).</w:t>
            </w:r>
          </w:p>
        </w:tc>
      </w:tr>
      <w:tr w:rsidR="0046240C" w:rsidRPr="00FC77FF" w14:paraId="5EBAECDA" w14:textId="77777777" w:rsidTr="00394CA5">
        <w:trPr>
          <w:trHeight w:val="314"/>
          <w:tblCellSpacing w:w="7" w:type="dxa"/>
        </w:trPr>
        <w:tc>
          <w:tcPr>
            <w:tcW w:w="1779" w:type="dxa"/>
            <w:vAlign w:val="center"/>
          </w:tcPr>
          <w:p w14:paraId="58EB80A3" w14:textId="73CCF62E" w:rsidR="0046240C" w:rsidRDefault="0046240C" w:rsidP="00FC78F1">
            <w:r>
              <w:t xml:space="preserve">Estimated </w:t>
            </w:r>
            <w:r>
              <w:lastRenderedPageBreak/>
              <w:t>Attenuation Map (if used)</w:t>
            </w:r>
          </w:p>
        </w:tc>
        <w:tc>
          <w:tcPr>
            <w:tcW w:w="1786" w:type="dxa"/>
            <w:vAlign w:val="center"/>
          </w:tcPr>
          <w:p w14:paraId="5DB2CB2C" w14:textId="3FD29A62" w:rsidR="0046240C" w:rsidRPr="006D6220" w:rsidRDefault="0046240C" w:rsidP="00191817">
            <w:pPr>
              <w:rPr>
                <w:color w:val="808080" w:themeColor="background1" w:themeShade="80"/>
              </w:rPr>
            </w:pPr>
            <w:r w:rsidRPr="006D6220">
              <w:rPr>
                <w:color w:val="808080" w:themeColor="background1" w:themeShade="80"/>
              </w:rPr>
              <w:lastRenderedPageBreak/>
              <w:t>Technologist</w:t>
            </w:r>
          </w:p>
        </w:tc>
        <w:tc>
          <w:tcPr>
            <w:tcW w:w="6459" w:type="dxa"/>
            <w:vAlign w:val="center"/>
          </w:tcPr>
          <w:p w14:paraId="2F294EA5" w14:textId="2A1749A4" w:rsidR="0046240C" w:rsidRDefault="0046240C" w:rsidP="00191817">
            <w:r>
              <w:t>Shall</w:t>
            </w:r>
            <w:r w:rsidR="00376700">
              <w:t xml:space="preserve"> be defined so that it</w:t>
            </w:r>
            <w:r>
              <w:t xml:space="preserve"> conform</w:t>
            </w:r>
            <w:r w:rsidR="00376700">
              <w:t>s</w:t>
            </w:r>
            <w:r>
              <w:t xml:space="preserve"> to the </w:t>
            </w:r>
            <w:r w:rsidR="00376700">
              <w:t>outline</w:t>
            </w:r>
            <w:r>
              <w:t xml:space="preserve"> of the head as </w:t>
            </w:r>
            <w:r>
              <w:lastRenderedPageBreak/>
              <w:t>closely as possible.</w:t>
            </w:r>
          </w:p>
        </w:tc>
      </w:tr>
      <w:tr w:rsidR="0046240C" w:rsidRPr="00FC77FF" w14:paraId="6092C70B" w14:textId="77777777" w:rsidTr="00394CA5">
        <w:trPr>
          <w:trHeight w:val="314"/>
          <w:tblCellSpacing w:w="7" w:type="dxa"/>
        </w:trPr>
        <w:tc>
          <w:tcPr>
            <w:tcW w:w="1779" w:type="dxa"/>
            <w:vAlign w:val="center"/>
          </w:tcPr>
          <w:p w14:paraId="63DCE1A5" w14:textId="481A2371" w:rsidR="0046240C" w:rsidRDefault="0046240C" w:rsidP="00FC78F1">
            <w:r>
              <w:lastRenderedPageBreak/>
              <w:t>Reconstructed image</w:t>
            </w:r>
          </w:p>
        </w:tc>
        <w:tc>
          <w:tcPr>
            <w:tcW w:w="1786" w:type="dxa"/>
            <w:vAlign w:val="center"/>
          </w:tcPr>
          <w:p w14:paraId="2BC96E27" w14:textId="71F44CBB" w:rsidR="0046240C" w:rsidRPr="006D6220" w:rsidRDefault="0046240C" w:rsidP="00191817">
            <w:pPr>
              <w:rPr>
                <w:color w:val="808080" w:themeColor="background1" w:themeShade="80"/>
              </w:rPr>
            </w:pPr>
            <w:r w:rsidRPr="006D6220">
              <w:rPr>
                <w:color w:val="808080" w:themeColor="background1" w:themeShade="80"/>
              </w:rPr>
              <w:t>Technologist</w:t>
            </w:r>
          </w:p>
        </w:tc>
        <w:tc>
          <w:tcPr>
            <w:tcW w:w="6459" w:type="dxa"/>
            <w:vAlign w:val="center"/>
          </w:tcPr>
          <w:p w14:paraId="298C7DA6" w14:textId="77777777" w:rsidR="005372B7" w:rsidRDefault="0046240C" w:rsidP="00D52BAC">
            <w:r>
              <w:t xml:space="preserve">Shall be reconstructed in such a way as to compensate for attenuation and scatter. </w:t>
            </w:r>
          </w:p>
          <w:p w14:paraId="73C073FD" w14:textId="4CF15776" w:rsidR="005372B7" w:rsidRDefault="005372B7" w:rsidP="00D52BAC">
            <w:r>
              <w:t>Optimal reconstruction depends on the image analysis method used (see Section 3.10).</w:t>
            </w:r>
          </w:p>
          <w:p w14:paraId="6CB040EA" w14:textId="07DA8D12" w:rsidR="005372B7" w:rsidRDefault="005372B7" w:rsidP="005372B7">
            <w:r w:rsidRPr="00A8483A">
              <w:rPr>
                <w:b/>
              </w:rPr>
              <w:t>W</w:t>
            </w:r>
            <w:r w:rsidR="00B31B36" w:rsidRPr="00A8483A">
              <w:rPr>
                <w:b/>
              </w:rPr>
              <w:t xml:space="preserve">hole striatum VOI </w:t>
            </w:r>
            <w:r w:rsidR="0046240C" w:rsidRPr="00A8483A">
              <w:rPr>
                <w:b/>
              </w:rPr>
              <w:t>method</w:t>
            </w:r>
            <w:r>
              <w:t xml:space="preserve">: </w:t>
            </w:r>
            <w:r w:rsidR="0046240C">
              <w:t>the reconstruction should be implemented to reduce partial volume effects</w:t>
            </w:r>
            <w:r w:rsidR="00376700">
              <w:t>, e.g., using CDR and partial volume compensation. Controlling voxel-level noise is less important</w:t>
            </w:r>
            <w:r>
              <w:t>, so post-reconstruction filtering is not recommended, though may be used for visual interpretation</w:t>
            </w:r>
            <w:r w:rsidR="0046240C">
              <w:t>.</w:t>
            </w:r>
          </w:p>
          <w:p w14:paraId="48CFBD53" w14:textId="7C4E56DB" w:rsidR="0046240C" w:rsidRDefault="005372B7" w:rsidP="005372B7">
            <w:r w:rsidRPr="00A8483A">
              <w:rPr>
                <w:b/>
              </w:rPr>
              <w:t>S</w:t>
            </w:r>
            <w:r w:rsidR="0046240C" w:rsidRPr="00A8483A">
              <w:rPr>
                <w:b/>
              </w:rPr>
              <w:t>mall VOI metho</w:t>
            </w:r>
            <w:r w:rsidRPr="00A8483A">
              <w:rPr>
                <w:b/>
              </w:rPr>
              <w:t>d:</w:t>
            </w:r>
            <w:r w:rsidR="0046240C">
              <w:t xml:space="preserve"> the reconstruction should be implemented to control the effects of voxel-level artifacts such as noise spikes and ringing</w:t>
            </w:r>
            <w:r w:rsidR="00D52BAC">
              <w:t>, including the use of 3-dimensional low-pass post-reconstruction filtering</w:t>
            </w:r>
            <w:r w:rsidR="00181544">
              <w:t xml:space="preserve"> (</w:t>
            </w:r>
            <w:r w:rsidR="00F5063F">
              <w:t xml:space="preserve">with </w:t>
            </w:r>
            <w:r w:rsidR="00181544">
              <w:t>8 – 10 mm FWHM)</w:t>
            </w:r>
            <w:r w:rsidR="00D52BAC">
              <w:t>.</w:t>
            </w:r>
          </w:p>
          <w:p w14:paraId="3C5C19FA" w14:textId="77777777" w:rsidR="008F6121" w:rsidRDefault="008F6121" w:rsidP="005372B7"/>
          <w:p w14:paraId="6993A7A1" w14:textId="151E94BD" w:rsidR="008F6121" w:rsidRDefault="008F6121" w:rsidP="008F6121">
            <w:r w:rsidRPr="00DA792D">
              <w:t>The reconstructed image should have sufficient spatial resolution to allow reliable independent estimates of the SBR in the Caudate and Putamen</w:t>
            </w:r>
            <w:r w:rsidR="00DA792D" w:rsidRPr="00DA792D">
              <w:t>.</w:t>
            </w:r>
            <w:r w:rsidRPr="000F6DF5">
              <w:t xml:space="preserve"> </w:t>
            </w:r>
          </w:p>
        </w:tc>
      </w:tr>
      <w:tr w:rsidR="0046240C" w:rsidRPr="00FC77FF" w14:paraId="2812BC58" w14:textId="77777777" w:rsidTr="00394CA5">
        <w:trPr>
          <w:trHeight w:val="314"/>
          <w:tblCellSpacing w:w="7" w:type="dxa"/>
        </w:trPr>
        <w:tc>
          <w:tcPr>
            <w:tcW w:w="1779" w:type="dxa"/>
            <w:vAlign w:val="center"/>
          </w:tcPr>
          <w:p w14:paraId="718085EC" w14:textId="1AF8FF3F" w:rsidR="0046240C" w:rsidRDefault="00BB087F" w:rsidP="00FC78F1">
            <w:r>
              <w:t>Stored Reconstructed Image</w:t>
            </w:r>
          </w:p>
        </w:tc>
        <w:tc>
          <w:tcPr>
            <w:tcW w:w="1786" w:type="dxa"/>
            <w:vAlign w:val="center"/>
          </w:tcPr>
          <w:p w14:paraId="6A9E9EFA" w14:textId="6F055D27" w:rsidR="0046240C" w:rsidRDefault="00BB087F" w:rsidP="00191817">
            <w:r w:rsidRPr="006D6220">
              <w:rPr>
                <w:color w:val="808080" w:themeColor="background1" w:themeShade="80"/>
              </w:rPr>
              <w:t>Camera Manufacturer</w:t>
            </w:r>
          </w:p>
        </w:tc>
        <w:tc>
          <w:tcPr>
            <w:tcW w:w="6459" w:type="dxa"/>
            <w:vAlign w:val="center"/>
          </w:tcPr>
          <w:p w14:paraId="6245BA8E" w14:textId="19DE5897" w:rsidR="0046240C" w:rsidRDefault="00BB087F" w:rsidP="00191817">
            <w:r>
              <w:t>Reconstructed images should be stored in such a way as to preserve the image dynamic range.</w:t>
            </w:r>
          </w:p>
        </w:tc>
      </w:tr>
    </w:tbl>
    <w:p w14:paraId="79F5B799" w14:textId="77777777" w:rsidR="000D48D6" w:rsidRDefault="000D48D6" w:rsidP="000D48D6"/>
    <w:p w14:paraId="6291541A" w14:textId="3CE60522" w:rsidR="000D48D6" w:rsidRDefault="000D48D6" w:rsidP="000D48D6">
      <w:pPr>
        <w:pStyle w:val="Heading2"/>
      </w:pPr>
      <w:bookmarkStart w:id="21" w:name="_Toc448590625"/>
      <w:r>
        <w:t>3.</w:t>
      </w:r>
      <w:r w:rsidR="007806D4">
        <w:t>8</w:t>
      </w:r>
      <w:r>
        <w:t xml:space="preserve">. </w:t>
      </w:r>
      <w:r w:rsidRPr="00D92917">
        <w:t xml:space="preserve">Image </w:t>
      </w:r>
      <w:r>
        <w:t>QA</w:t>
      </w:r>
      <w:bookmarkEnd w:id="21"/>
      <w:r w:rsidR="0008618B">
        <w:t>/QC</w:t>
      </w:r>
    </w:p>
    <w:p w14:paraId="2E21C73F" w14:textId="671A6572" w:rsidR="000E5B90" w:rsidRDefault="000E5B90" w:rsidP="000E5B90">
      <w:pPr>
        <w:pStyle w:val="Heading3"/>
      </w:pPr>
      <w:bookmarkStart w:id="22" w:name="_Toc448590627"/>
      <w:r w:rsidRPr="00B466EA">
        <w:t>3.</w:t>
      </w:r>
      <w:r w:rsidR="007806D4">
        <w:t>8</w:t>
      </w:r>
      <w:r>
        <w:t>.2</w:t>
      </w:r>
      <w:r w:rsidRPr="00B466EA">
        <w:t xml:space="preserve"> </w:t>
      </w:r>
      <w:r>
        <w:t>S</w:t>
      </w:r>
      <w:r w:rsidR="006731DD">
        <w:t>pecification</w:t>
      </w:r>
      <w:bookmarkEnd w:id="22"/>
    </w:p>
    <w:p w14:paraId="7AB2AF63" w14:textId="3D011A00" w:rsidR="00FA12F7" w:rsidRDefault="00FA12F7" w:rsidP="00B35C4E"/>
    <w:p w14:paraId="56A24FA0" w14:textId="77777777" w:rsidR="00FA12F7" w:rsidRPr="00184821" w:rsidRDefault="00FA12F7" w:rsidP="00FA12F7">
      <w:r w:rsidRPr="00184821">
        <w:rPr>
          <w:rFonts w:asciiTheme="minorHAnsi" w:hAnsiTheme="minorHAnsi"/>
        </w:rPr>
        <w:t>The normative list below is based on the recommendations from several national and international guidance document and should be applied as appropriate.</w:t>
      </w:r>
    </w:p>
    <w:p w14:paraId="2BD581CC" w14:textId="77777777" w:rsidR="00FA12F7" w:rsidRPr="004A1DDF" w:rsidRDefault="00FA12F7" w:rsidP="00FA12F7"/>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1"/>
        <w:gridCol w:w="1782"/>
        <w:gridCol w:w="6414"/>
      </w:tblGrid>
      <w:tr w:rsidR="00FA12F7" w:rsidRPr="00DC0527" w14:paraId="0BFAD2E5" w14:textId="77777777" w:rsidTr="007B18D0">
        <w:trPr>
          <w:tblHeader/>
          <w:tblCellSpacing w:w="7" w:type="dxa"/>
        </w:trPr>
        <w:tc>
          <w:tcPr>
            <w:tcW w:w="882" w:type="pct"/>
            <w:shd w:val="clear" w:color="auto" w:fill="D9D9D9" w:themeFill="background1" w:themeFillShade="D9"/>
            <w:vAlign w:val="center"/>
          </w:tcPr>
          <w:p w14:paraId="38E12C54" w14:textId="77777777" w:rsidR="00FA12F7" w:rsidRPr="00DC0527" w:rsidRDefault="00FA12F7" w:rsidP="007B18D0">
            <w:pPr>
              <w:rPr>
                <w:rFonts w:asciiTheme="minorHAnsi" w:hAnsiTheme="minorHAnsi"/>
                <w:b/>
              </w:rPr>
            </w:pPr>
            <w:r w:rsidRPr="00DC0527">
              <w:rPr>
                <w:rFonts w:asciiTheme="minorHAnsi" w:hAnsiTheme="minorHAnsi"/>
                <w:b/>
              </w:rPr>
              <w:t>Parameter</w:t>
            </w:r>
          </w:p>
        </w:tc>
        <w:tc>
          <w:tcPr>
            <w:tcW w:w="886" w:type="pct"/>
            <w:shd w:val="clear" w:color="auto" w:fill="D9D9D9" w:themeFill="background1" w:themeFillShade="D9"/>
            <w:vAlign w:val="center"/>
          </w:tcPr>
          <w:p w14:paraId="316E555A" w14:textId="77777777" w:rsidR="00FA12F7" w:rsidRPr="00DC0527" w:rsidRDefault="00FA12F7" w:rsidP="007B18D0">
            <w:pPr>
              <w:rPr>
                <w:rFonts w:asciiTheme="minorHAnsi" w:hAnsiTheme="minorHAnsi"/>
                <w:b/>
              </w:rPr>
            </w:pPr>
            <w:r w:rsidRPr="00DC0527">
              <w:rPr>
                <w:rFonts w:asciiTheme="minorHAnsi" w:hAnsiTheme="minorHAnsi"/>
                <w:b/>
              </w:rPr>
              <w:t>Actor</w:t>
            </w:r>
          </w:p>
        </w:tc>
        <w:tc>
          <w:tcPr>
            <w:tcW w:w="3204" w:type="pct"/>
            <w:shd w:val="clear" w:color="auto" w:fill="D9D9D9" w:themeFill="background1" w:themeFillShade="D9"/>
            <w:vAlign w:val="center"/>
          </w:tcPr>
          <w:p w14:paraId="70CD386E" w14:textId="77777777" w:rsidR="00FA12F7" w:rsidRPr="00DC0527" w:rsidRDefault="00FA12F7" w:rsidP="007B18D0">
            <w:pPr>
              <w:rPr>
                <w:rFonts w:asciiTheme="minorHAnsi" w:hAnsiTheme="minorHAnsi"/>
                <w:b/>
              </w:rPr>
            </w:pPr>
            <w:r>
              <w:rPr>
                <w:rFonts w:asciiTheme="minorHAnsi" w:hAnsiTheme="minorHAnsi"/>
                <w:b/>
              </w:rPr>
              <w:t>Specification</w:t>
            </w:r>
          </w:p>
        </w:tc>
      </w:tr>
      <w:tr w:rsidR="00FA12F7" w:rsidRPr="00DC0527" w14:paraId="73A2BE1E" w14:textId="77777777" w:rsidTr="007B18D0">
        <w:trPr>
          <w:tblCellSpacing w:w="7" w:type="dxa"/>
        </w:trPr>
        <w:tc>
          <w:tcPr>
            <w:tcW w:w="882" w:type="pct"/>
            <w:vAlign w:val="center"/>
          </w:tcPr>
          <w:p w14:paraId="30794348" w14:textId="77777777" w:rsidR="00FA12F7" w:rsidRPr="00D6366A" w:rsidRDefault="00FA12F7" w:rsidP="007B18D0">
            <w:pPr>
              <w:rPr>
                <w:rFonts w:asciiTheme="minorHAnsi" w:hAnsiTheme="minorHAnsi"/>
              </w:rPr>
            </w:pPr>
            <w:r w:rsidRPr="00D6366A">
              <w:rPr>
                <w:rFonts w:asciiTheme="minorHAnsi" w:hAnsiTheme="minorHAnsi"/>
              </w:rPr>
              <w:t>Phantom tests: Frequency</w:t>
            </w:r>
          </w:p>
        </w:tc>
        <w:tc>
          <w:tcPr>
            <w:tcW w:w="886" w:type="pct"/>
            <w:vAlign w:val="center"/>
          </w:tcPr>
          <w:p w14:paraId="3716DB74"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02EDB0C2" w14:textId="77777777" w:rsidR="00FA12F7" w:rsidRPr="00D6366A" w:rsidRDefault="00FA12F7" w:rsidP="007B18D0">
            <w:pPr>
              <w:rPr>
                <w:rFonts w:asciiTheme="minorHAnsi" w:hAnsiTheme="minorHAnsi"/>
              </w:rPr>
            </w:pPr>
            <w:r w:rsidRPr="00D6366A">
              <w:rPr>
                <w:rFonts w:asciiTheme="minorHAnsi" w:hAnsiTheme="minorHAnsi"/>
              </w:rPr>
              <w:t>Shall perform and document results of all tests no less than quarterly, and always after scanner upgrades, and repairs or recalibration of the gamma camera motions and/or detectors</w:t>
            </w:r>
          </w:p>
        </w:tc>
      </w:tr>
      <w:tr w:rsidR="00FA12F7" w:rsidRPr="00DC0527" w14:paraId="508442F2" w14:textId="77777777" w:rsidTr="007B18D0">
        <w:trPr>
          <w:tblCellSpacing w:w="7" w:type="dxa"/>
        </w:trPr>
        <w:tc>
          <w:tcPr>
            <w:tcW w:w="882" w:type="pct"/>
            <w:vAlign w:val="center"/>
          </w:tcPr>
          <w:p w14:paraId="45647538" w14:textId="77777777" w:rsidR="00FA12F7" w:rsidRPr="00D6366A" w:rsidRDefault="00FA12F7" w:rsidP="007B18D0">
            <w:pPr>
              <w:rPr>
                <w:rFonts w:asciiTheme="minorHAnsi" w:hAnsiTheme="minorHAnsi"/>
              </w:rPr>
            </w:pPr>
            <w:r w:rsidRPr="00D6366A">
              <w:rPr>
                <w:rFonts w:asciiTheme="minorHAnsi" w:hAnsiTheme="minorHAnsi"/>
              </w:rPr>
              <w:t>Phantom tests:</w:t>
            </w:r>
          </w:p>
          <w:p w14:paraId="39F1BA8A" w14:textId="77777777" w:rsidR="00FA12F7" w:rsidRPr="00D6366A" w:rsidRDefault="00FA12F7" w:rsidP="007B18D0">
            <w:pPr>
              <w:rPr>
                <w:rFonts w:asciiTheme="minorHAnsi" w:hAnsiTheme="minorHAnsi"/>
              </w:rPr>
            </w:pPr>
            <w:r w:rsidRPr="00D6366A">
              <w:rPr>
                <w:rFonts w:asciiTheme="minorHAnsi" w:hAnsiTheme="minorHAnsi"/>
              </w:rPr>
              <w:t>Planar Uniformity</w:t>
            </w:r>
          </w:p>
        </w:tc>
        <w:tc>
          <w:tcPr>
            <w:tcW w:w="886" w:type="pct"/>
            <w:vAlign w:val="center"/>
          </w:tcPr>
          <w:p w14:paraId="098E07C5"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28CCB68F" w14:textId="05EAB724" w:rsidR="00FA12F7" w:rsidRPr="00D6366A" w:rsidRDefault="00FA12F7" w:rsidP="00560447">
            <w:pPr>
              <w:rPr>
                <w:rFonts w:asciiTheme="minorHAnsi" w:hAnsiTheme="minorHAnsi"/>
              </w:rPr>
            </w:pPr>
            <w:r w:rsidRPr="00D6366A">
              <w:rPr>
                <w:rFonts w:asciiTheme="minorHAnsi" w:hAnsiTheme="minorHAnsi"/>
              </w:rPr>
              <w:t xml:space="preserve">Uniformity of response to a uniform flux of radiation from a I-123 point source </w:t>
            </w:r>
            <w:r w:rsidR="00560447">
              <w:rPr>
                <w:rFonts w:asciiTheme="minorHAnsi" w:hAnsiTheme="minorHAnsi"/>
              </w:rPr>
              <w:t>shall</w:t>
            </w:r>
            <w:r w:rsidR="00560447" w:rsidRPr="00D6366A">
              <w:rPr>
                <w:rFonts w:asciiTheme="minorHAnsi" w:hAnsiTheme="minorHAnsi"/>
              </w:rPr>
              <w:t xml:space="preserve"> </w:t>
            </w:r>
            <w:r w:rsidRPr="00D6366A">
              <w:rPr>
                <w:rFonts w:asciiTheme="minorHAnsi" w:hAnsiTheme="minorHAnsi"/>
              </w:rPr>
              <w:t>be measured intrinsically every quarter. On a daily basis planar uniformity with collimators used for I-123 imaging should be performed using a Tc-99m or Co-57 source</w:t>
            </w:r>
          </w:p>
        </w:tc>
      </w:tr>
      <w:tr w:rsidR="008D5DFA" w:rsidRPr="00DC0527" w14:paraId="35331682" w14:textId="77777777" w:rsidTr="007B18D0">
        <w:trPr>
          <w:tblCellSpacing w:w="7" w:type="dxa"/>
        </w:trPr>
        <w:tc>
          <w:tcPr>
            <w:tcW w:w="882" w:type="pct"/>
            <w:vAlign w:val="center"/>
          </w:tcPr>
          <w:p w14:paraId="21761271" w14:textId="079F3215" w:rsidR="008D5DFA" w:rsidRPr="00677D11" w:rsidRDefault="008D5DFA" w:rsidP="007B18D0">
            <w:pPr>
              <w:rPr>
                <w:rFonts w:asciiTheme="minorHAnsi" w:hAnsiTheme="minorHAnsi"/>
              </w:rPr>
            </w:pPr>
            <w:r w:rsidRPr="005145C7">
              <w:rPr>
                <w:rFonts w:asciiTheme="minorHAnsi" w:hAnsiTheme="minorHAnsi" w:cs="Arial"/>
              </w:rPr>
              <w:t>System Spatial Resolution</w:t>
            </w:r>
          </w:p>
        </w:tc>
        <w:tc>
          <w:tcPr>
            <w:tcW w:w="886" w:type="pct"/>
            <w:vAlign w:val="center"/>
          </w:tcPr>
          <w:p w14:paraId="49AE4780" w14:textId="01510BCD" w:rsidR="008D5DFA" w:rsidRPr="00A1775A" w:rsidRDefault="008D5DFA" w:rsidP="007B18D0">
            <w:pPr>
              <w:rPr>
                <w:rFonts w:asciiTheme="minorHAnsi" w:hAnsiTheme="minorHAnsi"/>
              </w:rPr>
            </w:pPr>
            <w:r w:rsidRPr="00A1775A">
              <w:rPr>
                <w:rFonts w:asciiTheme="minorHAnsi" w:hAnsiTheme="minorHAnsi"/>
                <w:color w:val="808080" w:themeColor="background1" w:themeShade="80"/>
              </w:rPr>
              <w:t>Physicist</w:t>
            </w:r>
          </w:p>
        </w:tc>
        <w:tc>
          <w:tcPr>
            <w:tcW w:w="3204" w:type="pct"/>
            <w:vAlign w:val="center"/>
          </w:tcPr>
          <w:p w14:paraId="3DF9DA28" w14:textId="1D3E657B" w:rsidR="008D5DFA" w:rsidRPr="005145C7" w:rsidRDefault="008D5DFA" w:rsidP="00222460">
            <w:pPr>
              <w:rPr>
                <w:rFonts w:asciiTheme="minorHAnsi" w:hAnsiTheme="minorHAnsi"/>
              </w:rPr>
            </w:pPr>
            <w:r w:rsidRPr="00A1775A">
              <w:rPr>
                <w:rFonts w:asciiTheme="minorHAnsi" w:hAnsiTheme="minorHAnsi"/>
              </w:rPr>
              <w:t>Tests the resolution of the system in terms of the FWHM of its point spread function. Test should be conduc</w:t>
            </w:r>
            <w:r w:rsidRPr="0065536F">
              <w:rPr>
                <w:rFonts w:asciiTheme="minorHAnsi" w:hAnsiTheme="minorHAnsi"/>
              </w:rPr>
              <w:t xml:space="preserve">ted semiannually </w:t>
            </w:r>
            <w:r w:rsidRPr="0065536F">
              <w:rPr>
                <w:rFonts w:asciiTheme="minorHAnsi" w:hAnsiTheme="minorHAnsi"/>
              </w:rPr>
              <w:lastRenderedPageBreak/>
              <w:t>with the collimators routinely used with</w:t>
            </w:r>
            <w:r w:rsidRPr="0029550F">
              <w:rPr>
                <w:rFonts w:asciiTheme="minorHAnsi" w:hAnsiTheme="minorHAnsi"/>
                <w:vertAlign w:val="superscript"/>
              </w:rPr>
              <w:t xml:space="preserve"> 123</w:t>
            </w:r>
            <w:r w:rsidRPr="0029550F">
              <w:rPr>
                <w:rFonts w:asciiTheme="minorHAnsi" w:hAnsiTheme="minorHAnsi"/>
              </w:rPr>
              <w:t xml:space="preserve">I </w:t>
            </w:r>
            <w:proofErr w:type="spellStart"/>
            <w:r w:rsidRPr="0029550F">
              <w:rPr>
                <w:rFonts w:asciiTheme="minorHAnsi" w:hAnsiTheme="minorHAnsi"/>
              </w:rPr>
              <w:t>ioflupane</w:t>
            </w:r>
            <w:proofErr w:type="spellEnd"/>
            <w:r w:rsidRPr="0029550F">
              <w:rPr>
                <w:rFonts w:asciiTheme="minorHAnsi" w:hAnsiTheme="minorHAnsi"/>
              </w:rPr>
              <w:t xml:space="preserve"> studies. </w:t>
            </w:r>
            <w:r w:rsidRPr="005145C7">
              <w:rPr>
                <w:rFonts w:asciiTheme="minorHAnsi" w:hAnsiTheme="minorHAnsi"/>
              </w:rPr>
              <w:t>The result of the test should be less than 8 mm</w:t>
            </w:r>
            <w:r w:rsidRPr="00677D11">
              <w:rPr>
                <w:rFonts w:asciiTheme="minorHAnsi" w:hAnsiTheme="minorHAnsi"/>
              </w:rPr>
              <w:t xml:space="preserve"> at 10 cm.</w:t>
            </w:r>
          </w:p>
        </w:tc>
      </w:tr>
      <w:tr w:rsidR="00FA12F7" w:rsidRPr="00DC0527" w14:paraId="1A3B0185" w14:textId="77777777" w:rsidTr="007B18D0">
        <w:trPr>
          <w:tblCellSpacing w:w="7" w:type="dxa"/>
        </w:trPr>
        <w:tc>
          <w:tcPr>
            <w:tcW w:w="882" w:type="pct"/>
            <w:vAlign w:val="center"/>
          </w:tcPr>
          <w:p w14:paraId="7D092430" w14:textId="77777777" w:rsidR="00FA12F7" w:rsidRPr="00D6366A" w:rsidRDefault="00FA12F7" w:rsidP="007B18D0">
            <w:pPr>
              <w:rPr>
                <w:rFonts w:asciiTheme="minorHAnsi" w:hAnsiTheme="minorHAnsi"/>
              </w:rPr>
            </w:pPr>
            <w:r w:rsidRPr="00D6366A">
              <w:rPr>
                <w:rFonts w:asciiTheme="minorHAnsi" w:hAnsiTheme="minorHAnsi"/>
              </w:rPr>
              <w:lastRenderedPageBreak/>
              <w:t xml:space="preserve">Phantom tests: </w:t>
            </w:r>
          </w:p>
          <w:p w14:paraId="62BE4351" w14:textId="77777777" w:rsidR="00FA12F7" w:rsidRPr="00D6366A" w:rsidRDefault="00FA12F7" w:rsidP="007B18D0">
            <w:pPr>
              <w:rPr>
                <w:rFonts w:asciiTheme="minorHAnsi" w:hAnsiTheme="minorHAnsi"/>
              </w:rPr>
            </w:pPr>
            <w:proofErr w:type="spellStart"/>
            <w:r w:rsidRPr="00D6366A">
              <w:rPr>
                <w:rFonts w:asciiTheme="minorHAnsi" w:hAnsiTheme="minorHAnsi"/>
              </w:rPr>
              <w:t>transaxial</w:t>
            </w:r>
            <w:proofErr w:type="spellEnd"/>
            <w:r w:rsidRPr="00D6366A">
              <w:rPr>
                <w:rFonts w:asciiTheme="minorHAnsi" w:hAnsiTheme="minorHAnsi"/>
              </w:rPr>
              <w:t xml:space="preserve"> uniformity measurement</w:t>
            </w:r>
          </w:p>
        </w:tc>
        <w:tc>
          <w:tcPr>
            <w:tcW w:w="886" w:type="pct"/>
            <w:vAlign w:val="center"/>
          </w:tcPr>
          <w:p w14:paraId="38295A43"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25787C08" w14:textId="683EA1FA" w:rsidR="00FA12F7" w:rsidRPr="00D6366A" w:rsidRDefault="00FA12F7" w:rsidP="00222460">
            <w:pPr>
              <w:rPr>
                <w:rFonts w:asciiTheme="minorHAnsi" w:hAnsiTheme="minorHAnsi"/>
              </w:rPr>
            </w:pPr>
            <w:r w:rsidRPr="00D6366A">
              <w:rPr>
                <w:rFonts w:asciiTheme="minorHAnsi" w:hAnsiTheme="minorHAnsi"/>
              </w:rPr>
              <w:t>Using a uniform cylinder</w:t>
            </w:r>
            <w:r w:rsidR="00222460">
              <w:rPr>
                <w:rFonts w:asciiTheme="minorHAnsi" w:hAnsiTheme="minorHAnsi"/>
              </w:rPr>
              <w:t xml:space="preserve"> </w:t>
            </w:r>
            <w:r w:rsidRPr="00D6366A">
              <w:rPr>
                <w:rFonts w:asciiTheme="minorHAnsi" w:hAnsiTheme="minorHAnsi"/>
              </w:rPr>
              <w:t>filled with I-123, obtain a within slice variability of less than 5%.</w:t>
            </w:r>
          </w:p>
        </w:tc>
      </w:tr>
      <w:tr w:rsidR="00FA12F7" w:rsidRPr="00DC0527" w14:paraId="4DF6368F" w14:textId="77777777" w:rsidTr="007B18D0">
        <w:trPr>
          <w:tblCellSpacing w:w="7" w:type="dxa"/>
        </w:trPr>
        <w:tc>
          <w:tcPr>
            <w:tcW w:w="882" w:type="pct"/>
            <w:vAlign w:val="center"/>
          </w:tcPr>
          <w:p w14:paraId="313B1CD5" w14:textId="77777777" w:rsidR="00FA12F7" w:rsidRPr="00D6366A" w:rsidRDefault="00FA12F7" w:rsidP="007B18D0">
            <w:pPr>
              <w:rPr>
                <w:rFonts w:asciiTheme="minorHAnsi" w:hAnsiTheme="minorHAnsi"/>
              </w:rPr>
            </w:pPr>
            <w:r w:rsidRPr="00D6366A">
              <w:rPr>
                <w:rFonts w:asciiTheme="minorHAnsi" w:hAnsiTheme="minorHAnsi"/>
              </w:rPr>
              <w:t>Phantom tests:</w:t>
            </w:r>
          </w:p>
          <w:p w14:paraId="43CDF304" w14:textId="77777777" w:rsidR="00FA12F7" w:rsidRPr="00D6366A" w:rsidRDefault="00FA12F7" w:rsidP="007B18D0">
            <w:pPr>
              <w:rPr>
                <w:rFonts w:asciiTheme="minorHAnsi" w:hAnsiTheme="minorHAnsi"/>
              </w:rPr>
            </w:pPr>
            <w:r w:rsidRPr="00D6366A">
              <w:rPr>
                <w:rFonts w:asciiTheme="minorHAnsi" w:hAnsiTheme="minorHAnsi"/>
              </w:rPr>
              <w:t>suitability for basal ganglia imaging</w:t>
            </w:r>
          </w:p>
        </w:tc>
        <w:tc>
          <w:tcPr>
            <w:tcW w:w="886" w:type="pct"/>
            <w:vAlign w:val="center"/>
          </w:tcPr>
          <w:p w14:paraId="4EF0BFE9"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04FF3739" w14:textId="3433F108" w:rsidR="00FA12F7" w:rsidRPr="00D6366A" w:rsidRDefault="00FA12F7" w:rsidP="002C362B">
            <w:pPr>
              <w:rPr>
                <w:rFonts w:asciiTheme="minorHAnsi" w:hAnsiTheme="minorHAnsi"/>
              </w:rPr>
            </w:pPr>
            <w:r w:rsidRPr="00D6366A">
              <w:rPr>
                <w:rFonts w:asciiTheme="minorHAnsi" w:hAnsiTheme="minorHAnsi"/>
              </w:rPr>
              <w:t>Using an anthropomorphic phantom with basal ganglia and</w:t>
            </w:r>
            <w:r w:rsidR="002C362B">
              <w:rPr>
                <w:rFonts w:asciiTheme="minorHAnsi" w:hAnsiTheme="minorHAnsi"/>
              </w:rPr>
              <w:t xml:space="preserve"> reference region </w:t>
            </w:r>
            <w:r w:rsidRPr="00D6366A">
              <w:rPr>
                <w:rFonts w:asciiTheme="minorHAnsi" w:hAnsiTheme="minorHAnsi"/>
              </w:rPr>
              <w:t xml:space="preserve"> background compartments filled at a </w:t>
            </w:r>
            <w:r w:rsidR="0065536F">
              <w:rPr>
                <w:rFonts w:asciiTheme="minorHAnsi" w:hAnsiTheme="minorHAnsi"/>
              </w:rPr>
              <w:t xml:space="preserve">homogeneous striatal </w:t>
            </w:r>
            <w:r w:rsidRPr="00D6366A">
              <w:rPr>
                <w:rFonts w:asciiTheme="minorHAnsi" w:hAnsiTheme="minorHAnsi"/>
              </w:rPr>
              <w:t xml:space="preserve">ratio of </w:t>
            </w:r>
            <w:r w:rsidR="0065536F">
              <w:rPr>
                <w:rFonts w:asciiTheme="minorHAnsi" w:hAnsiTheme="minorHAnsi"/>
              </w:rPr>
              <w:t>4.</w:t>
            </w:r>
            <w:r w:rsidRPr="00C24D50">
              <w:rPr>
                <w:rFonts w:asciiTheme="minorHAnsi" w:hAnsiTheme="minorHAnsi"/>
              </w:rPr>
              <w:t>5:1</w:t>
            </w:r>
            <w:r w:rsidRPr="00D6366A">
              <w:rPr>
                <w:rFonts w:asciiTheme="minorHAnsi" w:hAnsiTheme="minorHAnsi"/>
              </w:rPr>
              <w:t>,</w:t>
            </w:r>
            <w:r w:rsidR="0065536F">
              <w:rPr>
                <w:rFonts w:asciiTheme="minorHAnsi" w:hAnsiTheme="minorHAnsi"/>
              </w:rPr>
              <w:t xml:space="preserve"> </w:t>
            </w:r>
            <w:r w:rsidRPr="00D6366A">
              <w:rPr>
                <w:rFonts w:asciiTheme="minorHAnsi" w:hAnsiTheme="minorHAnsi"/>
              </w:rPr>
              <w:t xml:space="preserve">to distinguish the caudate nuclei and </w:t>
            </w:r>
            <w:proofErr w:type="spellStart"/>
            <w:r w:rsidRPr="00D6366A">
              <w:rPr>
                <w:rFonts w:asciiTheme="minorHAnsi" w:hAnsiTheme="minorHAnsi"/>
              </w:rPr>
              <w:t>putaminal</w:t>
            </w:r>
            <w:proofErr w:type="spellEnd"/>
            <w:r w:rsidR="0065536F">
              <w:rPr>
                <w:rFonts w:asciiTheme="minorHAnsi" w:hAnsiTheme="minorHAnsi"/>
              </w:rPr>
              <w:t xml:space="preserve">, and  also with a caudate/putamen gradient of 4.5:1 caudate, 2.25:1 putamen to assess systems ability to determine an uptake gradient across the </w:t>
            </w:r>
            <w:proofErr w:type="spellStart"/>
            <w:r w:rsidR="0065536F">
              <w:rPr>
                <w:rFonts w:asciiTheme="minorHAnsi" w:hAnsiTheme="minorHAnsi"/>
              </w:rPr>
              <w:t>striata</w:t>
            </w:r>
            <w:proofErr w:type="spellEnd"/>
          </w:p>
        </w:tc>
      </w:tr>
      <w:tr w:rsidR="0029550F" w:rsidRPr="00DC0527" w14:paraId="456C7FDA" w14:textId="77777777" w:rsidTr="007B18D0">
        <w:trPr>
          <w:tblCellSpacing w:w="7" w:type="dxa"/>
        </w:trPr>
        <w:tc>
          <w:tcPr>
            <w:tcW w:w="882" w:type="pct"/>
            <w:vAlign w:val="center"/>
          </w:tcPr>
          <w:p w14:paraId="57C4BEF7" w14:textId="29756CAF" w:rsidR="0029550F" w:rsidRDefault="0029550F" w:rsidP="007B18D0">
            <w:pPr>
              <w:rPr>
                <w:rFonts w:asciiTheme="minorHAnsi" w:hAnsiTheme="minorHAnsi"/>
              </w:rPr>
            </w:pPr>
            <w:r>
              <w:rPr>
                <w:rFonts w:asciiTheme="minorHAnsi" w:hAnsiTheme="minorHAnsi"/>
              </w:rPr>
              <w:t>Phantom test:</w:t>
            </w:r>
          </w:p>
        </w:tc>
        <w:tc>
          <w:tcPr>
            <w:tcW w:w="886" w:type="pct"/>
            <w:vAlign w:val="center"/>
          </w:tcPr>
          <w:p w14:paraId="31DEE405" w14:textId="18D7424E" w:rsidR="0029550F" w:rsidRPr="006D6220" w:rsidRDefault="0029550F"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4EDE68EF" w14:textId="6B5BA12B" w:rsidR="0029550F" w:rsidRDefault="0029550F" w:rsidP="002C362B">
            <w:pPr>
              <w:rPr>
                <w:rFonts w:asciiTheme="minorHAnsi" w:hAnsiTheme="minorHAnsi"/>
              </w:rPr>
            </w:pPr>
            <w:r>
              <w:rPr>
                <w:rFonts w:asciiTheme="minorHAnsi" w:hAnsiTheme="minorHAnsi"/>
              </w:rPr>
              <w:t xml:space="preserve">Voxel noise in the </w:t>
            </w:r>
            <w:r w:rsidR="002C362B">
              <w:rPr>
                <w:rFonts w:asciiTheme="minorHAnsi" w:hAnsiTheme="minorHAnsi"/>
              </w:rPr>
              <w:t>reference region/</w:t>
            </w:r>
            <w:r>
              <w:rPr>
                <w:rFonts w:asciiTheme="minorHAnsi" w:hAnsiTheme="minorHAnsi"/>
              </w:rPr>
              <w:t>background compartment</w:t>
            </w:r>
            <w:r w:rsidR="00E61D67">
              <w:rPr>
                <w:rFonts w:asciiTheme="minorHAnsi" w:hAnsiTheme="minorHAnsi"/>
              </w:rPr>
              <w:t xml:space="preserve">. </w:t>
            </w:r>
            <w:r w:rsidR="00E61D67" w:rsidRPr="00CA545A">
              <w:rPr>
                <w:rFonts w:asciiTheme="minorHAnsi" w:hAnsiTheme="minorHAnsi"/>
              </w:rPr>
              <w:t xml:space="preserve"> The COV of the </w:t>
            </w:r>
            <w:r w:rsidR="00D05AB1">
              <w:rPr>
                <w:rFonts w:asciiTheme="minorHAnsi" w:hAnsiTheme="minorHAnsi"/>
              </w:rPr>
              <w:t>volume of interest</w:t>
            </w:r>
            <w:r w:rsidR="00E61D67" w:rsidRPr="00CA545A">
              <w:rPr>
                <w:rFonts w:asciiTheme="minorHAnsi" w:hAnsiTheme="minorHAnsi"/>
              </w:rPr>
              <w:t xml:space="preserve"> thus determined should be recorded and should be below 15%. </w:t>
            </w:r>
          </w:p>
        </w:tc>
      </w:tr>
      <w:tr w:rsidR="00FA12F7" w:rsidRPr="00DC0527" w14:paraId="14C334E6" w14:textId="77777777" w:rsidTr="007B18D0">
        <w:trPr>
          <w:tblCellSpacing w:w="7" w:type="dxa"/>
        </w:trPr>
        <w:tc>
          <w:tcPr>
            <w:tcW w:w="882" w:type="pct"/>
            <w:vAlign w:val="center"/>
          </w:tcPr>
          <w:p w14:paraId="7997F645" w14:textId="77777777" w:rsidR="00FA12F7" w:rsidRPr="00D6366A" w:rsidRDefault="00FA12F7" w:rsidP="007B18D0">
            <w:pPr>
              <w:rPr>
                <w:rFonts w:asciiTheme="minorHAnsi" w:hAnsiTheme="minorHAnsi"/>
              </w:rPr>
            </w:pPr>
            <w:r>
              <w:rPr>
                <w:rFonts w:asciiTheme="minorHAnsi" w:hAnsiTheme="minorHAnsi"/>
              </w:rPr>
              <w:t>Phantom test: data acquisition</w:t>
            </w:r>
          </w:p>
        </w:tc>
        <w:tc>
          <w:tcPr>
            <w:tcW w:w="886" w:type="pct"/>
            <w:vAlign w:val="center"/>
          </w:tcPr>
          <w:p w14:paraId="55CFAB9A"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1AF71A93" w14:textId="77777777" w:rsidR="00FA12F7" w:rsidRPr="00D6366A" w:rsidRDefault="00FA12F7" w:rsidP="007B18D0">
            <w:pPr>
              <w:rPr>
                <w:rFonts w:asciiTheme="minorHAnsi" w:hAnsiTheme="minorHAnsi"/>
              </w:rPr>
            </w:pPr>
            <w:r>
              <w:rPr>
                <w:rFonts w:asciiTheme="minorHAnsi" w:hAnsiTheme="minorHAnsi"/>
              </w:rPr>
              <w:t>Shall acquire according to Section 3.6</w:t>
            </w:r>
          </w:p>
        </w:tc>
      </w:tr>
      <w:tr w:rsidR="00FA12F7" w:rsidRPr="00DC0527" w14:paraId="04947DE0" w14:textId="77777777" w:rsidTr="007B18D0">
        <w:trPr>
          <w:tblCellSpacing w:w="7" w:type="dxa"/>
        </w:trPr>
        <w:tc>
          <w:tcPr>
            <w:tcW w:w="882" w:type="pct"/>
            <w:vAlign w:val="center"/>
          </w:tcPr>
          <w:p w14:paraId="1FD11793" w14:textId="77777777" w:rsidR="00FA12F7" w:rsidRPr="00D6366A" w:rsidRDefault="00FA12F7" w:rsidP="007B18D0">
            <w:pPr>
              <w:rPr>
                <w:rFonts w:asciiTheme="minorHAnsi" w:hAnsiTheme="minorHAnsi"/>
              </w:rPr>
            </w:pPr>
            <w:r>
              <w:rPr>
                <w:rFonts w:asciiTheme="minorHAnsi" w:hAnsiTheme="minorHAnsi"/>
              </w:rPr>
              <w:t>Phantom test: data reconstruction</w:t>
            </w:r>
          </w:p>
        </w:tc>
        <w:tc>
          <w:tcPr>
            <w:tcW w:w="886" w:type="pct"/>
            <w:vAlign w:val="center"/>
          </w:tcPr>
          <w:p w14:paraId="338228D6"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Imaging Site</w:t>
            </w:r>
          </w:p>
        </w:tc>
        <w:tc>
          <w:tcPr>
            <w:tcW w:w="3204" w:type="pct"/>
            <w:vAlign w:val="center"/>
          </w:tcPr>
          <w:p w14:paraId="236569B1" w14:textId="77777777" w:rsidR="00FA12F7" w:rsidRPr="00D6366A" w:rsidRDefault="00FA12F7" w:rsidP="007B18D0">
            <w:pPr>
              <w:rPr>
                <w:rFonts w:asciiTheme="minorHAnsi" w:hAnsiTheme="minorHAnsi"/>
              </w:rPr>
            </w:pPr>
            <w:r>
              <w:rPr>
                <w:rFonts w:asciiTheme="minorHAnsi" w:hAnsiTheme="minorHAnsi"/>
              </w:rPr>
              <w:t>Shall reconstruct according to Section 3.7</w:t>
            </w:r>
          </w:p>
        </w:tc>
      </w:tr>
      <w:tr w:rsidR="00FA12F7" w:rsidRPr="00DC0527" w14:paraId="32B4E24C" w14:textId="77777777" w:rsidTr="007B18D0">
        <w:trPr>
          <w:tblCellSpacing w:w="7" w:type="dxa"/>
        </w:trPr>
        <w:tc>
          <w:tcPr>
            <w:tcW w:w="882" w:type="pct"/>
            <w:vAlign w:val="center"/>
          </w:tcPr>
          <w:p w14:paraId="4FADB44B" w14:textId="77777777" w:rsidR="00FA12F7" w:rsidRDefault="00FA12F7" w:rsidP="007B18D0">
            <w:pPr>
              <w:rPr>
                <w:rFonts w:asciiTheme="minorHAnsi" w:hAnsiTheme="minorHAnsi"/>
              </w:rPr>
            </w:pPr>
            <w:r>
              <w:rPr>
                <w:rFonts w:asciiTheme="minorHAnsi" w:hAnsiTheme="minorHAnsi"/>
              </w:rPr>
              <w:t>Phantom test: data analysis</w:t>
            </w:r>
          </w:p>
        </w:tc>
        <w:tc>
          <w:tcPr>
            <w:tcW w:w="886" w:type="pct"/>
            <w:vAlign w:val="center"/>
          </w:tcPr>
          <w:p w14:paraId="55EA8ABE" w14:textId="77777777" w:rsidR="00FA12F7" w:rsidRPr="006D6220" w:rsidRDefault="00FA12F7" w:rsidP="007B18D0">
            <w:pPr>
              <w:rPr>
                <w:rFonts w:asciiTheme="minorHAnsi" w:hAnsiTheme="minorHAnsi"/>
                <w:color w:val="808080" w:themeColor="background1" w:themeShade="80"/>
              </w:rPr>
            </w:pPr>
            <w:r w:rsidRPr="006D6220">
              <w:rPr>
                <w:rFonts w:asciiTheme="minorHAnsi" w:hAnsiTheme="minorHAnsi"/>
                <w:color w:val="808080" w:themeColor="background1" w:themeShade="80"/>
              </w:rPr>
              <w:t xml:space="preserve">Imaging Site </w:t>
            </w:r>
          </w:p>
        </w:tc>
        <w:tc>
          <w:tcPr>
            <w:tcW w:w="3204" w:type="pct"/>
            <w:vAlign w:val="center"/>
          </w:tcPr>
          <w:p w14:paraId="21D991A3" w14:textId="54C65B08" w:rsidR="00FA12F7" w:rsidRDefault="00FA12F7" w:rsidP="00F50A39">
            <w:pPr>
              <w:rPr>
                <w:rFonts w:asciiTheme="minorHAnsi" w:hAnsiTheme="minorHAnsi"/>
              </w:rPr>
            </w:pPr>
            <w:r>
              <w:rPr>
                <w:rFonts w:asciiTheme="minorHAnsi" w:hAnsiTheme="minorHAnsi"/>
              </w:rPr>
              <w:t>Shall ensur</w:t>
            </w:r>
            <w:r w:rsidR="006C14C7">
              <w:rPr>
                <w:rFonts w:asciiTheme="minorHAnsi" w:hAnsiTheme="minorHAnsi"/>
              </w:rPr>
              <w:t xml:space="preserve">e noise is less than specified </w:t>
            </w:r>
            <w:r w:rsidR="00F50A39">
              <w:rPr>
                <w:rFonts w:asciiTheme="minorHAnsi" w:hAnsiTheme="minorHAnsi"/>
              </w:rPr>
              <w:t>above.</w:t>
            </w:r>
          </w:p>
        </w:tc>
      </w:tr>
    </w:tbl>
    <w:p w14:paraId="6E4F513B" w14:textId="77777777" w:rsidR="00FA12F7" w:rsidRPr="00FA12F7" w:rsidRDefault="00FA12F7" w:rsidP="005F5E2D"/>
    <w:p w14:paraId="0207D128" w14:textId="3A2BDE53" w:rsidR="00D743AE" w:rsidRDefault="00D743AE" w:rsidP="00D743AE">
      <w:pPr>
        <w:pStyle w:val="Heading2"/>
      </w:pPr>
      <w:bookmarkStart w:id="23" w:name="_Toc448590628"/>
      <w:r>
        <w:t xml:space="preserve">3.9. </w:t>
      </w:r>
      <w:r w:rsidRPr="00D92917">
        <w:t xml:space="preserve">Image </w:t>
      </w:r>
      <w:r>
        <w:t>Distribution</w:t>
      </w:r>
      <w:bookmarkEnd w:id="23"/>
    </w:p>
    <w:p w14:paraId="39997E30" w14:textId="77777777" w:rsidR="00BF4021" w:rsidRDefault="00BF4021" w:rsidP="00BF4021">
      <w:pPr>
        <w:pStyle w:val="BodyText"/>
      </w:pPr>
      <w:r>
        <w:t xml:space="preserve">This activity describes criteria and procedures related to distributing images that are necessary to reliably meet the Profile Claim. </w:t>
      </w:r>
    </w:p>
    <w:p w14:paraId="39209EBB" w14:textId="748EC68E" w:rsidR="00BF4021" w:rsidRDefault="00BF4021" w:rsidP="00BF4021">
      <w:pPr>
        <w:pStyle w:val="Heading3"/>
      </w:pPr>
      <w:bookmarkStart w:id="24" w:name="_Toc448590630"/>
      <w:r>
        <w:t>3.9.2</w:t>
      </w:r>
      <w:r w:rsidRPr="00B466EA">
        <w:t xml:space="preserve"> </w:t>
      </w:r>
      <w:r>
        <w:t>Specification</w:t>
      </w:r>
      <w:bookmarkEnd w:id="24"/>
    </w:p>
    <w:p w14:paraId="33763C2F" w14:textId="77777777" w:rsidR="00BF4021" w:rsidRDefault="00BF4021" w:rsidP="00BF4021">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FC77F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786"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6459"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B731AA">
        <w:trPr>
          <w:tblCellSpacing w:w="7" w:type="dxa"/>
        </w:trPr>
        <w:tc>
          <w:tcPr>
            <w:tcW w:w="1779" w:type="dxa"/>
            <w:vAlign w:val="center"/>
          </w:tcPr>
          <w:p w14:paraId="5C8A8149" w14:textId="77777777" w:rsidR="00BF4021" w:rsidRPr="00FC77FF" w:rsidRDefault="00BF4021" w:rsidP="00D92993">
            <w:r>
              <w:t>Image Distribution</w:t>
            </w:r>
          </w:p>
        </w:tc>
        <w:tc>
          <w:tcPr>
            <w:tcW w:w="1786" w:type="dxa"/>
          </w:tcPr>
          <w:p w14:paraId="488EA4D0" w14:textId="77777777" w:rsidR="00BF4021" w:rsidRPr="00FC77FF" w:rsidRDefault="00BF4021" w:rsidP="00D92993">
            <w:pPr>
              <w:jc w:val="center"/>
            </w:pPr>
            <w:r w:rsidRPr="006D6220">
              <w:rPr>
                <w:color w:val="808080" w:themeColor="background1" w:themeShade="80"/>
              </w:rPr>
              <w:t>Technologist</w:t>
            </w:r>
          </w:p>
        </w:tc>
        <w:tc>
          <w:tcPr>
            <w:tcW w:w="6459" w:type="dxa"/>
            <w:vAlign w:val="center"/>
          </w:tcPr>
          <w:p w14:paraId="23558A7E" w14:textId="77777777" w:rsidR="00BF4021" w:rsidRPr="00D216F9" w:rsidRDefault="00BF4021" w:rsidP="00D92993">
            <w:r w:rsidRPr="00D216F9">
              <w:t xml:space="preserve">The </w:t>
            </w:r>
            <w:r>
              <w:t>original projections (</w:t>
            </w:r>
            <w:proofErr w:type="spellStart"/>
            <w:r>
              <w:t>sinogram</w:t>
            </w:r>
            <w:proofErr w:type="spellEnd"/>
            <w:r>
              <w:t xml:space="preserve">) </w:t>
            </w:r>
            <w:r w:rsidRPr="00D216F9">
              <w:t>images</w:t>
            </w:r>
            <w:r>
              <w:t xml:space="preserve"> (scanner raw data)</w:t>
            </w:r>
            <w:r w:rsidRPr="00D216F9">
              <w:t>,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1F536BE6" w:rsidR="00BF4021" w:rsidRDefault="00BF4021" w:rsidP="00D92993">
            <w:r w:rsidRPr="00D216F9">
              <w:t xml:space="preserve">If processed </w:t>
            </w:r>
            <w:r w:rsidR="00FA12F7">
              <w:t>SPECT</w:t>
            </w:r>
            <w:r w:rsidR="00FA12F7" w:rsidRPr="00D216F9">
              <w:t xml:space="preserve"> </w:t>
            </w:r>
            <w:r w:rsidRPr="00D216F9">
              <w:t>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25" w:name="_Toc448590631"/>
      <w:r>
        <w:lastRenderedPageBreak/>
        <w:t>3.</w:t>
      </w:r>
      <w:r w:rsidR="00D743AE">
        <w:t>10</w:t>
      </w:r>
      <w:r>
        <w:t xml:space="preserve">. </w:t>
      </w:r>
      <w:r w:rsidRPr="00D92917">
        <w:t>Image Analysis</w:t>
      </w:r>
      <w:bookmarkEnd w:id="20"/>
      <w:bookmarkEnd w:id="25"/>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635D5FB8" w14:textId="77777777" w:rsidR="009A49E7" w:rsidRDefault="009A49E7" w:rsidP="009A49E7">
      <w:pPr>
        <w:pStyle w:val="Heading3"/>
      </w:pPr>
      <w:bookmarkStart w:id="26" w:name="_Toc448590633"/>
      <w:r>
        <w:t>3.10.2</w:t>
      </w:r>
      <w:r w:rsidRPr="00B466EA">
        <w:t xml:space="preserve"> </w:t>
      </w:r>
      <w:r>
        <w:t>Specification</w:t>
      </w:r>
      <w:bookmarkEnd w:id="26"/>
    </w:p>
    <w:p w14:paraId="102DFFA5" w14:textId="77777777" w:rsidR="009A49E7" w:rsidRDefault="009A49E7" w:rsidP="009A49E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FC77F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786"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6459"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B731AA">
        <w:trPr>
          <w:tblCellSpacing w:w="7" w:type="dxa"/>
        </w:trPr>
        <w:tc>
          <w:tcPr>
            <w:tcW w:w="1779" w:type="dxa"/>
            <w:vMerge w:val="restart"/>
            <w:vAlign w:val="center"/>
          </w:tcPr>
          <w:p w14:paraId="28F1E8F6" w14:textId="77777777" w:rsidR="00D6366A" w:rsidRPr="00FC77FF" w:rsidRDefault="00D6366A" w:rsidP="009A49E7">
            <w:r w:rsidRPr="001748C5">
              <w:t>Specific Binding Ratio</w:t>
            </w:r>
          </w:p>
        </w:tc>
        <w:tc>
          <w:tcPr>
            <w:tcW w:w="1786" w:type="dxa"/>
            <w:vMerge w:val="restart"/>
            <w:vAlign w:val="center"/>
          </w:tcPr>
          <w:p w14:paraId="6382EB20" w14:textId="77777777" w:rsidR="00D6366A" w:rsidRPr="00FC77FF" w:rsidRDefault="00D6366A" w:rsidP="00D6366A">
            <w:r w:rsidRPr="006D6220">
              <w:rPr>
                <w:color w:val="808080" w:themeColor="background1" w:themeShade="80"/>
              </w:rPr>
              <w:t>Image Analyst</w:t>
            </w:r>
          </w:p>
        </w:tc>
        <w:tc>
          <w:tcPr>
            <w:tcW w:w="6459" w:type="dxa"/>
            <w:vAlign w:val="center"/>
          </w:tcPr>
          <w:p w14:paraId="30830896" w14:textId="77777777" w:rsidR="00D6366A" w:rsidRPr="001748C5" w:rsidRDefault="00D6366A" w:rsidP="009A49E7">
            <w:r w:rsidRPr="001748C5">
              <w:t>Analysis Workstation</w:t>
            </w:r>
          </w:p>
          <w:p w14:paraId="2DED33CA" w14:textId="0742E1CB" w:rsidR="00D6366A" w:rsidRPr="00FC77FF" w:rsidRDefault="00D6366A" w:rsidP="00905853">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VOI data analysis.</w:t>
            </w:r>
          </w:p>
        </w:tc>
      </w:tr>
      <w:tr w:rsidR="00D6366A" w:rsidRPr="00FC77FF" w14:paraId="313ABB24" w14:textId="77777777" w:rsidTr="00B731AA">
        <w:trPr>
          <w:tblCellSpacing w:w="7" w:type="dxa"/>
        </w:trPr>
        <w:tc>
          <w:tcPr>
            <w:tcW w:w="1779" w:type="dxa"/>
            <w:vMerge/>
            <w:vAlign w:val="center"/>
          </w:tcPr>
          <w:p w14:paraId="1BB38514" w14:textId="77777777" w:rsidR="00D6366A" w:rsidRPr="00FC77FF" w:rsidRDefault="00D6366A" w:rsidP="009A49E7"/>
        </w:tc>
        <w:tc>
          <w:tcPr>
            <w:tcW w:w="1786" w:type="dxa"/>
            <w:vMerge/>
          </w:tcPr>
          <w:p w14:paraId="51051A38" w14:textId="77777777" w:rsidR="00D6366A" w:rsidRPr="00FC77FF" w:rsidRDefault="00D6366A" w:rsidP="009A49E7"/>
        </w:tc>
        <w:tc>
          <w:tcPr>
            <w:tcW w:w="6459" w:type="dxa"/>
            <w:vAlign w:val="center"/>
          </w:tcPr>
          <w:p w14:paraId="4BCBBAE6" w14:textId="77777777" w:rsidR="00D6366A" w:rsidRPr="001748C5" w:rsidRDefault="00D6366A" w:rsidP="009A49E7">
            <w:r w:rsidRPr="001748C5">
              <w:t>Post processed image for data analysis</w:t>
            </w:r>
          </w:p>
          <w:p w14:paraId="61CDDA40" w14:textId="0A5B9D0C" w:rsidR="00D6366A" w:rsidRPr="00FC77FF" w:rsidDel="00210341" w:rsidRDefault="00D6366A" w:rsidP="00054D94">
            <w:r w:rsidRPr="001748C5">
              <w:t>Image for data analysis shall be reconstructed in accordance with parameters as described in Section 3.7. If needed</w:t>
            </w:r>
            <w:r w:rsidR="005372B7">
              <w:t>,</w:t>
            </w:r>
            <w:r w:rsidRPr="001748C5">
              <w:t xml:space="preserve"> image is spatially normalized. </w:t>
            </w:r>
            <w:r>
              <w:t xml:space="preserve">If using the Small </w:t>
            </w:r>
            <w:r w:rsidR="00C4105F">
              <w:t>V</w:t>
            </w:r>
            <w:r>
              <w:t xml:space="preserve">OI approach, </w:t>
            </w:r>
            <w:r w:rsidR="00054D94">
              <w:t xml:space="preserve">the </w:t>
            </w:r>
            <w:proofErr w:type="spellStart"/>
            <w:r w:rsidR="00054D94" w:rsidRPr="001748C5">
              <w:rPr>
                <w:rFonts w:asciiTheme="minorHAnsi" w:eastAsiaTheme="minorEastAsia" w:cstheme="minorBidi"/>
                <w:color w:val="000000" w:themeColor="text1"/>
                <w:kern w:val="24"/>
              </w:rPr>
              <w:t>transaxial</w:t>
            </w:r>
            <w:proofErr w:type="spellEnd"/>
            <w:r w:rsidR="00054D94" w:rsidRPr="001748C5">
              <w:rPr>
                <w:rFonts w:asciiTheme="minorHAnsi" w:eastAsiaTheme="minorEastAsia" w:cstheme="minorBidi"/>
                <w:color w:val="000000" w:themeColor="text1"/>
                <w:kern w:val="24"/>
              </w:rPr>
              <w:t xml:space="preserve"> slice with the highest striatal uptake </w:t>
            </w:r>
            <w:r w:rsidR="00054D94">
              <w:rPr>
                <w:rFonts w:asciiTheme="minorHAnsi" w:eastAsiaTheme="minorEastAsia" w:cstheme="minorBidi"/>
                <w:color w:val="000000" w:themeColor="text1"/>
                <w:kern w:val="24"/>
              </w:rPr>
              <w:t>plus and minus</w:t>
            </w:r>
            <w:r w:rsidR="00054D94" w:rsidRPr="001748C5">
              <w:rPr>
                <w:rFonts w:asciiTheme="minorHAnsi" w:eastAsiaTheme="minorEastAsia" w:cstheme="minorBidi"/>
                <w:color w:val="000000" w:themeColor="text1"/>
                <w:kern w:val="24"/>
              </w:rPr>
              <w:t xml:space="preserve"> </w:t>
            </w:r>
            <w:r w:rsidR="00054D94">
              <w:rPr>
                <w:rFonts w:asciiTheme="minorHAnsi" w:eastAsiaTheme="minorEastAsia" w:cstheme="minorBidi"/>
                <w:color w:val="000000" w:themeColor="text1"/>
                <w:kern w:val="24"/>
              </w:rPr>
              <w:t xml:space="preserve">up to two adjacent </w:t>
            </w:r>
            <w:r w:rsidR="00054D94" w:rsidRPr="001748C5">
              <w:rPr>
                <w:rFonts w:asciiTheme="minorHAnsi" w:eastAsiaTheme="minorEastAsia" w:cstheme="minorBidi"/>
                <w:color w:val="000000" w:themeColor="text1"/>
                <w:kern w:val="24"/>
              </w:rPr>
              <w:t>slices</w:t>
            </w:r>
            <w:r w:rsidR="00054D94">
              <w:rPr>
                <w:rFonts w:asciiTheme="minorHAnsi" w:eastAsiaTheme="minorEastAsia" w:cstheme="minorBidi"/>
                <w:color w:val="000000" w:themeColor="text1"/>
                <w:kern w:val="24"/>
              </w:rPr>
              <w:t xml:space="preserve"> spanning an axial extent of 2 cm or less</w:t>
            </w:r>
            <w:r w:rsidR="00054D94" w:rsidRPr="001748C5">
              <w:rPr>
                <w:rFonts w:asciiTheme="minorHAnsi" w:eastAsiaTheme="minorEastAsia" w:cstheme="minorBidi"/>
                <w:color w:val="000000" w:themeColor="text1"/>
                <w:kern w:val="24"/>
              </w:rPr>
              <w:t xml:space="preserve"> are averaged to generate a single slice image.</w:t>
            </w:r>
          </w:p>
        </w:tc>
      </w:tr>
      <w:tr w:rsidR="00D6366A" w:rsidRPr="00FC77FF" w14:paraId="7945BA43" w14:textId="77777777" w:rsidTr="00B731AA">
        <w:trPr>
          <w:tblCellSpacing w:w="7" w:type="dxa"/>
        </w:trPr>
        <w:tc>
          <w:tcPr>
            <w:tcW w:w="1779" w:type="dxa"/>
            <w:vMerge/>
            <w:vAlign w:val="center"/>
          </w:tcPr>
          <w:p w14:paraId="352A3184" w14:textId="77777777" w:rsidR="00D6366A" w:rsidRPr="00FC77FF" w:rsidRDefault="00D6366A" w:rsidP="009A49E7"/>
        </w:tc>
        <w:tc>
          <w:tcPr>
            <w:tcW w:w="1786" w:type="dxa"/>
            <w:vMerge/>
          </w:tcPr>
          <w:p w14:paraId="2EBA5BD6" w14:textId="77777777" w:rsidR="00D6366A" w:rsidRPr="00FC77FF" w:rsidRDefault="00D6366A" w:rsidP="009A49E7"/>
        </w:tc>
        <w:tc>
          <w:tcPr>
            <w:tcW w:w="6459" w:type="dxa"/>
            <w:vAlign w:val="center"/>
          </w:tcPr>
          <w:p w14:paraId="3E61F423" w14:textId="4B721DFE" w:rsidR="00D6366A" w:rsidRPr="001748C5" w:rsidRDefault="00227F34" w:rsidP="009A49E7">
            <w:r>
              <w:t>VOI</w:t>
            </w:r>
            <w:r w:rsidRPr="001748C5">
              <w:t xml:space="preserve"> </w:t>
            </w:r>
            <w:r w:rsidR="00D6366A" w:rsidRPr="001748C5">
              <w:t>software analysis tools</w:t>
            </w:r>
          </w:p>
          <w:p w14:paraId="4EDFC2EC" w14:textId="51D56D25" w:rsidR="00D6366A" w:rsidRPr="00FC77FF" w:rsidRDefault="00D6366A" w:rsidP="001E0A7D">
            <w:r w:rsidRPr="001748C5">
              <w:t xml:space="preserve">Using analysis workstation tools, </w:t>
            </w:r>
            <w:r w:rsidR="00C4105F">
              <w:t>volumes</w:t>
            </w:r>
            <w:r w:rsidR="00C4105F" w:rsidRPr="001748C5">
              <w:t xml:space="preserve"> </w:t>
            </w:r>
            <w:r w:rsidRPr="001748C5">
              <w:t xml:space="preserve">of interest are placed on the left and right caudate, the left and right putamen, and the reference tissue. Count densities for each region are extracted to calculate SBRs for each of the striatal regions and for the striatum as a whole. </w:t>
            </w:r>
            <w:r w:rsidR="00C4105F" w:rsidRPr="001E0A7D">
              <w:t>VO</w:t>
            </w:r>
            <w:r w:rsidRPr="001E0A7D">
              <w:t xml:space="preserve">Is </w:t>
            </w:r>
            <w:r w:rsidR="001E0A7D" w:rsidRPr="001E0A7D">
              <w:t xml:space="preserve">shall </w:t>
            </w:r>
            <w:r w:rsidRPr="001E0A7D">
              <w:t xml:space="preserve">be </w:t>
            </w:r>
            <w:r w:rsidR="00C4105F" w:rsidRPr="001E0A7D">
              <w:t xml:space="preserve">systematically placed by the </w:t>
            </w:r>
            <w:r w:rsidR="00905853" w:rsidRPr="001E0A7D">
              <w:t>image analyst</w:t>
            </w:r>
            <w:r w:rsidR="00C4105F" w:rsidRPr="001E0A7D">
              <w:t xml:space="preserve"> or</w:t>
            </w:r>
            <w:r w:rsidRPr="001E0A7D">
              <w:t xml:space="preserve"> by the image analysis </w:t>
            </w:r>
            <w:r w:rsidR="00905853">
              <w:t>software</w:t>
            </w:r>
            <w:r w:rsidRPr="00C179D2">
              <w:t>.</w:t>
            </w:r>
            <w:r w:rsidRPr="001748C5">
              <w:rPr>
                <w:color w:val="0000FF"/>
              </w:rPr>
              <w:t xml:space="preserve"> </w:t>
            </w:r>
          </w:p>
        </w:tc>
      </w:tr>
      <w:tr w:rsidR="00C4105F" w:rsidRPr="00FC77FF" w14:paraId="04E4D1EB" w14:textId="77777777" w:rsidTr="00B731AA">
        <w:trPr>
          <w:tblCellSpacing w:w="7" w:type="dxa"/>
        </w:trPr>
        <w:tc>
          <w:tcPr>
            <w:tcW w:w="1779" w:type="dxa"/>
            <w:vAlign w:val="center"/>
          </w:tcPr>
          <w:p w14:paraId="38AF2695" w14:textId="28FF1154" w:rsidR="00C4105F" w:rsidRPr="00FC77FF" w:rsidRDefault="00C4105F" w:rsidP="009A49E7">
            <w:r>
              <w:t>Certify VOI</w:t>
            </w:r>
          </w:p>
        </w:tc>
        <w:tc>
          <w:tcPr>
            <w:tcW w:w="1786" w:type="dxa"/>
          </w:tcPr>
          <w:p w14:paraId="3267ED5C" w14:textId="022B1FBF" w:rsidR="00C4105F" w:rsidRPr="00FC77FF" w:rsidRDefault="00C4105F" w:rsidP="009A49E7">
            <w:r w:rsidRPr="006D6220">
              <w:rPr>
                <w:color w:val="808080" w:themeColor="background1" w:themeShade="80"/>
              </w:rPr>
              <w:t>Qualified professional</w:t>
            </w:r>
          </w:p>
        </w:tc>
        <w:tc>
          <w:tcPr>
            <w:tcW w:w="6459" w:type="dxa"/>
            <w:vAlign w:val="center"/>
          </w:tcPr>
          <w:p w14:paraId="5809A3FC" w14:textId="3C5E36AA" w:rsidR="00C4105F" w:rsidRPr="001748C5" w:rsidRDefault="00C4105F" w:rsidP="009A49E7">
            <w:r w:rsidRPr="00C179D2">
              <w:t>Shall either (1) agree with region boundaries, (2) reject boundaries and return for reprocessing, or (3) make revisions “on the fly” as indicated.</w:t>
            </w:r>
          </w:p>
        </w:tc>
      </w:tr>
    </w:tbl>
    <w:p w14:paraId="27FC178A" w14:textId="77777777" w:rsidR="009A49E7" w:rsidRDefault="009A49E7" w:rsidP="009A49E7">
      <w:pPr>
        <w:pStyle w:val="BodyText"/>
      </w:pPr>
    </w:p>
    <w:p w14:paraId="2606FBE4" w14:textId="77777777" w:rsidR="008E2B75" w:rsidRDefault="008E2B75">
      <w:pPr>
        <w:widowControl/>
        <w:autoSpaceDE/>
        <w:autoSpaceDN/>
        <w:adjustRightInd/>
        <w:spacing w:after="160" w:line="259" w:lineRule="auto"/>
        <w:rPr>
          <w:rFonts w:cs="Times New Roman"/>
          <w:b/>
          <w:sz w:val="28"/>
          <w:szCs w:val="20"/>
        </w:rPr>
      </w:pPr>
      <w:bookmarkStart w:id="27" w:name="_Toc448590634"/>
      <w:bookmarkStart w:id="28" w:name="_Toc292350664"/>
      <w:r>
        <w:br w:type="page"/>
      </w:r>
    </w:p>
    <w:p w14:paraId="34DB9A4D" w14:textId="2D11FC40" w:rsidR="0084267C" w:rsidRDefault="0084267C" w:rsidP="0084267C">
      <w:pPr>
        <w:pStyle w:val="Heading2"/>
      </w:pPr>
      <w:r>
        <w:lastRenderedPageBreak/>
        <w:t>3.1</w:t>
      </w:r>
      <w:r w:rsidR="00D743AE">
        <w:t>1</w:t>
      </w:r>
      <w:r>
        <w:t xml:space="preserve">. </w:t>
      </w:r>
      <w:r w:rsidRPr="00D92917">
        <w:t xml:space="preserve">Image </w:t>
      </w:r>
      <w:r w:rsidR="000E4458">
        <w:t xml:space="preserve">Certification and </w:t>
      </w:r>
      <w:r>
        <w:t>Interpretation</w:t>
      </w:r>
      <w:bookmarkEnd w:id="27"/>
    </w:p>
    <w:p w14:paraId="67BB39DD" w14:textId="2F9800E2" w:rsidR="0084267C" w:rsidRDefault="0084267C" w:rsidP="00EC50B0">
      <w:pPr>
        <w:pStyle w:val="BodyText"/>
      </w:pPr>
      <w:r>
        <w:t xml:space="preserve">This activity describes criteria and procedures related to </w:t>
      </w:r>
      <w:r w:rsidR="00D743AE">
        <w:t xml:space="preserve">clinically interpreting the </w:t>
      </w:r>
      <w:r>
        <w:t xml:space="preserve">measurements </w:t>
      </w:r>
      <w:r w:rsidR="00D743AE">
        <w:t xml:space="preserve">and </w:t>
      </w:r>
      <w:r>
        <w:t>images that are necessary to reliably meet the Profile Claim.</w:t>
      </w:r>
    </w:p>
    <w:p w14:paraId="297240F4" w14:textId="7AFAAD54" w:rsidR="0084267C" w:rsidRDefault="0084267C" w:rsidP="0084267C">
      <w:pPr>
        <w:pStyle w:val="Heading3"/>
      </w:pPr>
      <w:bookmarkStart w:id="29" w:name="_Toc448590636"/>
      <w:r>
        <w:t>3.1</w:t>
      </w:r>
      <w:r w:rsidR="00D743AE">
        <w:t>1</w:t>
      </w:r>
      <w:r>
        <w:t>.2</w:t>
      </w:r>
      <w:r w:rsidRPr="00B466EA">
        <w:t xml:space="preserve"> </w:t>
      </w:r>
      <w:r>
        <w:t>Specification</w:t>
      </w:r>
      <w:bookmarkEnd w:id="29"/>
    </w:p>
    <w:p w14:paraId="15E067D2" w14:textId="77777777" w:rsidR="00E06D97" w:rsidRPr="009B6D6A" w:rsidRDefault="00E06D97" w:rsidP="00E06D9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E06D97" w:rsidRPr="00FC77FF" w14:paraId="5A853860" w14:textId="77777777" w:rsidTr="00A75FBA">
        <w:trPr>
          <w:tblHeader/>
          <w:tblCellSpacing w:w="7" w:type="dxa"/>
        </w:trPr>
        <w:tc>
          <w:tcPr>
            <w:tcW w:w="1779" w:type="dxa"/>
            <w:shd w:val="clear" w:color="auto" w:fill="D9D9D9" w:themeFill="background1" w:themeFillShade="D9"/>
            <w:vAlign w:val="center"/>
          </w:tcPr>
          <w:p w14:paraId="5CFB9ACF" w14:textId="77777777" w:rsidR="00E06D97" w:rsidRPr="00BC62F1" w:rsidRDefault="00E06D97" w:rsidP="00A75FBA">
            <w:pPr>
              <w:rPr>
                <w:b/>
              </w:rPr>
            </w:pPr>
            <w:r w:rsidRPr="00BC62F1">
              <w:rPr>
                <w:b/>
              </w:rPr>
              <w:t>Parameter</w:t>
            </w:r>
          </w:p>
        </w:tc>
        <w:tc>
          <w:tcPr>
            <w:tcW w:w="1786" w:type="dxa"/>
            <w:shd w:val="clear" w:color="auto" w:fill="D9D9D9" w:themeFill="background1" w:themeFillShade="D9"/>
          </w:tcPr>
          <w:p w14:paraId="3B6EE7E4" w14:textId="77777777" w:rsidR="00E06D97" w:rsidRPr="00BC62F1" w:rsidRDefault="00E06D97" w:rsidP="00A75FBA">
            <w:pPr>
              <w:rPr>
                <w:b/>
              </w:rPr>
            </w:pPr>
            <w:r w:rsidRPr="00BC62F1">
              <w:rPr>
                <w:b/>
              </w:rPr>
              <w:t>Actor</w:t>
            </w:r>
          </w:p>
        </w:tc>
        <w:tc>
          <w:tcPr>
            <w:tcW w:w="6459" w:type="dxa"/>
            <w:shd w:val="clear" w:color="auto" w:fill="D9D9D9" w:themeFill="background1" w:themeFillShade="D9"/>
            <w:vAlign w:val="center"/>
          </w:tcPr>
          <w:p w14:paraId="28C2F6DD" w14:textId="77777777" w:rsidR="00E06D97" w:rsidRPr="000E5B90" w:rsidRDefault="00E06D97" w:rsidP="00A75FBA">
            <w:pPr>
              <w:rPr>
                <w:b/>
              </w:rPr>
            </w:pPr>
            <w:r w:rsidRPr="000E5B90">
              <w:rPr>
                <w:b/>
              </w:rPr>
              <w:t>Requirement</w:t>
            </w:r>
          </w:p>
        </w:tc>
      </w:tr>
      <w:tr w:rsidR="00E06D97" w:rsidRPr="00FC77FF" w14:paraId="39688155" w14:textId="77777777" w:rsidTr="00A75FBA">
        <w:trPr>
          <w:tblCellSpacing w:w="7" w:type="dxa"/>
        </w:trPr>
        <w:tc>
          <w:tcPr>
            <w:tcW w:w="1779" w:type="dxa"/>
            <w:vAlign w:val="center"/>
          </w:tcPr>
          <w:p w14:paraId="43D0AEA4" w14:textId="77777777" w:rsidR="00E06D97" w:rsidRPr="006D6220" w:rsidRDefault="00E06D97" w:rsidP="00A75FBA">
            <w:pPr>
              <w:rPr>
                <w:color w:val="000000" w:themeColor="text1"/>
              </w:rPr>
            </w:pPr>
            <w:r w:rsidRPr="006D6220">
              <w:rPr>
                <w:color w:val="000000" w:themeColor="text1"/>
              </w:rPr>
              <w:t>count sufficiency</w:t>
            </w:r>
          </w:p>
        </w:tc>
        <w:tc>
          <w:tcPr>
            <w:tcW w:w="1786" w:type="dxa"/>
            <w:vMerge w:val="restart"/>
            <w:vAlign w:val="center"/>
          </w:tcPr>
          <w:p w14:paraId="37C89568" w14:textId="77777777" w:rsidR="00E06D97" w:rsidRPr="007A0EA0" w:rsidRDefault="00E06D97" w:rsidP="00A75FBA">
            <w:pPr>
              <w:rPr>
                <w:color w:val="808080" w:themeColor="background1" w:themeShade="80"/>
              </w:rPr>
            </w:pPr>
            <w:r>
              <w:rPr>
                <w:color w:val="808080" w:themeColor="background1" w:themeShade="80"/>
              </w:rPr>
              <w:t>nuclear medicine specialist or nuclear r</w:t>
            </w:r>
            <w:r w:rsidRPr="007A0EA0">
              <w:rPr>
                <w:color w:val="808080" w:themeColor="background1" w:themeShade="80"/>
              </w:rPr>
              <w:t>adiologist</w:t>
            </w:r>
          </w:p>
        </w:tc>
        <w:tc>
          <w:tcPr>
            <w:tcW w:w="6459" w:type="dxa"/>
            <w:vAlign w:val="center"/>
          </w:tcPr>
          <w:p w14:paraId="251889BB" w14:textId="77777777" w:rsidR="00E06D97" w:rsidRPr="006D6220" w:rsidRDefault="00E06D97" w:rsidP="00A75FBA">
            <w:pPr>
              <w:rPr>
                <w:i/>
                <w:color w:val="000000" w:themeColor="text1"/>
              </w:rPr>
            </w:pPr>
            <w:r w:rsidRPr="006D6220">
              <w:rPr>
                <w:color w:val="000000" w:themeColor="text1"/>
              </w:rPr>
              <w:t>Shall confirm sufficient counts have been acquired to reconstruct the images properly</w:t>
            </w:r>
          </w:p>
        </w:tc>
      </w:tr>
      <w:tr w:rsidR="00E06D97" w:rsidRPr="00FC77FF" w14:paraId="65A090CF" w14:textId="77777777" w:rsidTr="00A75FBA">
        <w:trPr>
          <w:tblCellSpacing w:w="7" w:type="dxa"/>
        </w:trPr>
        <w:tc>
          <w:tcPr>
            <w:tcW w:w="1779" w:type="dxa"/>
            <w:vAlign w:val="center"/>
          </w:tcPr>
          <w:p w14:paraId="79366EC5" w14:textId="77777777" w:rsidR="00E06D97" w:rsidRPr="006D6220" w:rsidRDefault="00E06D97" w:rsidP="00A75FBA">
            <w:pPr>
              <w:rPr>
                <w:color w:val="000000" w:themeColor="text1"/>
              </w:rPr>
            </w:pPr>
            <w:r w:rsidRPr="006D6220">
              <w:rPr>
                <w:color w:val="000000" w:themeColor="text1"/>
              </w:rPr>
              <w:t>clear, conspicuous margins</w:t>
            </w:r>
          </w:p>
        </w:tc>
        <w:tc>
          <w:tcPr>
            <w:tcW w:w="1786" w:type="dxa"/>
            <w:vMerge/>
            <w:vAlign w:val="center"/>
          </w:tcPr>
          <w:p w14:paraId="3844740D" w14:textId="77777777" w:rsidR="00E06D97" w:rsidRPr="007A0EA0" w:rsidRDefault="00E06D97" w:rsidP="00A75FBA">
            <w:pPr>
              <w:rPr>
                <w:color w:val="808080" w:themeColor="background1" w:themeShade="80"/>
              </w:rPr>
            </w:pPr>
          </w:p>
        </w:tc>
        <w:tc>
          <w:tcPr>
            <w:tcW w:w="6459" w:type="dxa"/>
            <w:vAlign w:val="center"/>
          </w:tcPr>
          <w:p w14:paraId="3524F38F" w14:textId="77777777" w:rsidR="00E06D97" w:rsidRPr="006D6220" w:rsidRDefault="00E06D97" w:rsidP="00A75FBA">
            <w:pPr>
              <w:rPr>
                <w:color w:val="000000" w:themeColor="text1"/>
              </w:rPr>
            </w:pPr>
            <w:r w:rsidRPr="006D6220">
              <w:rPr>
                <w:color w:val="000000" w:themeColor="text1"/>
              </w:rPr>
              <w:t>Shall confirm the margins are sufficiently conspicuous and have not been degraded by excessive patient motion.</w:t>
            </w:r>
          </w:p>
        </w:tc>
      </w:tr>
      <w:tr w:rsidR="00E06D97" w:rsidRPr="00FC77FF" w14:paraId="1312DE94" w14:textId="77777777" w:rsidTr="00A75FBA">
        <w:trPr>
          <w:tblCellSpacing w:w="7" w:type="dxa"/>
        </w:trPr>
        <w:tc>
          <w:tcPr>
            <w:tcW w:w="1779" w:type="dxa"/>
            <w:vAlign w:val="center"/>
          </w:tcPr>
          <w:p w14:paraId="5BE04990" w14:textId="77777777" w:rsidR="00E06D97" w:rsidRPr="006D6220" w:rsidDel="00FC78F1" w:rsidRDefault="00E06D97" w:rsidP="00A75FBA">
            <w:pPr>
              <w:rPr>
                <w:color w:val="000000" w:themeColor="text1"/>
              </w:rPr>
            </w:pPr>
            <w:r w:rsidRPr="006D6220">
              <w:rPr>
                <w:color w:val="000000" w:themeColor="text1"/>
              </w:rPr>
              <w:t>Excessive motion</w:t>
            </w:r>
          </w:p>
        </w:tc>
        <w:tc>
          <w:tcPr>
            <w:tcW w:w="1786" w:type="dxa"/>
            <w:vMerge/>
            <w:vAlign w:val="center"/>
          </w:tcPr>
          <w:p w14:paraId="4672F686" w14:textId="77777777" w:rsidR="00E06D97" w:rsidRPr="007A0EA0" w:rsidRDefault="00E06D97" w:rsidP="00A75FBA">
            <w:pPr>
              <w:rPr>
                <w:color w:val="808080" w:themeColor="background1" w:themeShade="80"/>
              </w:rPr>
            </w:pPr>
          </w:p>
        </w:tc>
        <w:tc>
          <w:tcPr>
            <w:tcW w:w="6459" w:type="dxa"/>
            <w:vAlign w:val="center"/>
          </w:tcPr>
          <w:p w14:paraId="43684B05" w14:textId="77777777" w:rsidR="00E06D97" w:rsidRPr="006D6220" w:rsidRDefault="00E06D97" w:rsidP="00A75FBA">
            <w:pPr>
              <w:rPr>
                <w:color w:val="000000" w:themeColor="text1"/>
              </w:rPr>
            </w:pPr>
            <w:r w:rsidRPr="006D6220">
              <w:rPr>
                <w:color w:val="000000" w:themeColor="text1"/>
              </w:rPr>
              <w:t>Shall confirm that image quality has not been degraded by excessive patient motion.</w:t>
            </w:r>
          </w:p>
        </w:tc>
      </w:tr>
      <w:tr w:rsidR="00E06D97" w:rsidRPr="00FC77FF" w14:paraId="7C853E00" w14:textId="77777777" w:rsidTr="00A75FBA">
        <w:trPr>
          <w:tblCellSpacing w:w="7" w:type="dxa"/>
        </w:trPr>
        <w:tc>
          <w:tcPr>
            <w:tcW w:w="1779" w:type="dxa"/>
            <w:vAlign w:val="center"/>
          </w:tcPr>
          <w:p w14:paraId="55F18C7C" w14:textId="77777777" w:rsidR="00E06D97" w:rsidRPr="006D6220" w:rsidDel="00FC78F1" w:rsidRDefault="00E06D97" w:rsidP="00A75FBA">
            <w:pPr>
              <w:rPr>
                <w:color w:val="000000" w:themeColor="text1"/>
              </w:rPr>
            </w:pPr>
            <w:r w:rsidRPr="006D6220">
              <w:rPr>
                <w:color w:val="000000" w:themeColor="text1"/>
              </w:rPr>
              <w:t>Proper positioning in FOV</w:t>
            </w:r>
          </w:p>
        </w:tc>
        <w:tc>
          <w:tcPr>
            <w:tcW w:w="1786" w:type="dxa"/>
            <w:vMerge/>
            <w:vAlign w:val="center"/>
          </w:tcPr>
          <w:p w14:paraId="2EA75E25" w14:textId="77777777" w:rsidR="00E06D97" w:rsidRPr="007A0EA0" w:rsidRDefault="00E06D97" w:rsidP="00A75FBA">
            <w:pPr>
              <w:rPr>
                <w:color w:val="808080" w:themeColor="background1" w:themeShade="80"/>
              </w:rPr>
            </w:pPr>
          </w:p>
        </w:tc>
        <w:tc>
          <w:tcPr>
            <w:tcW w:w="6459" w:type="dxa"/>
            <w:vAlign w:val="center"/>
          </w:tcPr>
          <w:p w14:paraId="65D376E6" w14:textId="77777777" w:rsidR="00E06D97" w:rsidRPr="006D6220" w:rsidRDefault="00E06D97" w:rsidP="00A75FBA">
            <w:pPr>
              <w:rPr>
                <w:color w:val="000000" w:themeColor="text1"/>
              </w:rPr>
            </w:pPr>
            <w:r w:rsidRPr="006D6220">
              <w:rPr>
                <w:color w:val="000000" w:themeColor="text1"/>
              </w:rPr>
              <w:t>Shall confirm that basal ganglia are in the field of view by assessing where the top of the head is.</w:t>
            </w:r>
          </w:p>
        </w:tc>
      </w:tr>
      <w:tr w:rsidR="00E06D97" w:rsidRPr="00FC77FF" w14:paraId="710C19FF" w14:textId="77777777" w:rsidTr="00A75FBA">
        <w:trPr>
          <w:tblCellSpacing w:w="7" w:type="dxa"/>
        </w:trPr>
        <w:tc>
          <w:tcPr>
            <w:tcW w:w="1779" w:type="dxa"/>
            <w:vAlign w:val="center"/>
          </w:tcPr>
          <w:p w14:paraId="1EA88E26" w14:textId="77777777" w:rsidR="00E06D97" w:rsidRPr="006D6220" w:rsidDel="00FC78F1" w:rsidRDefault="00E06D97" w:rsidP="00A75FBA">
            <w:pPr>
              <w:rPr>
                <w:color w:val="000000" w:themeColor="text1"/>
              </w:rPr>
            </w:pPr>
            <w:r w:rsidRPr="006D6220">
              <w:rPr>
                <w:color w:val="000000" w:themeColor="text1"/>
              </w:rPr>
              <w:t>artifacts</w:t>
            </w:r>
          </w:p>
        </w:tc>
        <w:tc>
          <w:tcPr>
            <w:tcW w:w="1786" w:type="dxa"/>
            <w:vMerge/>
            <w:vAlign w:val="center"/>
          </w:tcPr>
          <w:p w14:paraId="4361FCEE" w14:textId="77777777" w:rsidR="00E06D97" w:rsidRPr="007A0EA0" w:rsidRDefault="00E06D97" w:rsidP="00A75FBA">
            <w:pPr>
              <w:rPr>
                <w:color w:val="808080" w:themeColor="background1" w:themeShade="80"/>
              </w:rPr>
            </w:pPr>
          </w:p>
        </w:tc>
        <w:tc>
          <w:tcPr>
            <w:tcW w:w="6459" w:type="dxa"/>
            <w:vAlign w:val="center"/>
          </w:tcPr>
          <w:p w14:paraId="213107FC" w14:textId="77777777" w:rsidR="00E06D97" w:rsidRPr="006D6220" w:rsidRDefault="00E06D97" w:rsidP="00A75FBA">
            <w:pPr>
              <w:rPr>
                <w:color w:val="000000" w:themeColor="text1"/>
              </w:rPr>
            </w:pPr>
            <w:r w:rsidRPr="006D6220">
              <w:rPr>
                <w:color w:val="000000" w:themeColor="text1"/>
              </w:rPr>
              <w:t>Shall ensure assessment is not confounded by ring artifacts, artifacts related to too large a radius for COR (i.e., should be &lt;15 cm, or edge artifacts</w:t>
            </w:r>
          </w:p>
        </w:tc>
      </w:tr>
      <w:tr w:rsidR="00E06D97" w:rsidRPr="00FC77FF" w14:paraId="394F4967" w14:textId="77777777" w:rsidTr="00A75FBA">
        <w:trPr>
          <w:tblCellSpacing w:w="7" w:type="dxa"/>
        </w:trPr>
        <w:tc>
          <w:tcPr>
            <w:tcW w:w="1779" w:type="dxa"/>
            <w:vAlign w:val="center"/>
          </w:tcPr>
          <w:p w14:paraId="784E4877" w14:textId="77777777" w:rsidR="00E06D97" w:rsidRPr="006D6220" w:rsidDel="00FC78F1" w:rsidRDefault="00E06D97" w:rsidP="00A75FBA">
            <w:pPr>
              <w:rPr>
                <w:color w:val="000000" w:themeColor="text1"/>
              </w:rPr>
            </w:pPr>
            <w:proofErr w:type="spellStart"/>
            <w:r w:rsidRPr="006D6220">
              <w:rPr>
                <w:color w:val="000000" w:themeColor="text1"/>
              </w:rPr>
              <w:t>Mis</w:t>
            </w:r>
            <w:proofErr w:type="spellEnd"/>
            <w:r w:rsidRPr="006D6220">
              <w:rPr>
                <w:color w:val="000000" w:themeColor="text1"/>
              </w:rPr>
              <w:t>-registration of SPECT/CT or discordance of Chang’s</w:t>
            </w:r>
          </w:p>
        </w:tc>
        <w:tc>
          <w:tcPr>
            <w:tcW w:w="1786" w:type="dxa"/>
            <w:vMerge/>
            <w:vAlign w:val="center"/>
          </w:tcPr>
          <w:p w14:paraId="6E3EEEBF" w14:textId="77777777" w:rsidR="00E06D97" w:rsidRPr="007A0EA0" w:rsidRDefault="00E06D97" w:rsidP="00A75FBA">
            <w:pPr>
              <w:rPr>
                <w:color w:val="808080" w:themeColor="background1" w:themeShade="80"/>
              </w:rPr>
            </w:pPr>
          </w:p>
        </w:tc>
        <w:tc>
          <w:tcPr>
            <w:tcW w:w="6459" w:type="dxa"/>
            <w:vAlign w:val="center"/>
          </w:tcPr>
          <w:p w14:paraId="7F59F66A" w14:textId="77777777" w:rsidR="00E06D97" w:rsidRPr="006D6220" w:rsidRDefault="00E06D97" w:rsidP="00A75FBA">
            <w:pPr>
              <w:rPr>
                <w:color w:val="000000" w:themeColor="text1"/>
              </w:rPr>
            </w:pPr>
            <w:r w:rsidRPr="006D6220">
              <w:rPr>
                <w:color w:val="000000" w:themeColor="text1"/>
              </w:rPr>
              <w:t>Shall ensure that the attenuation map is visually registered to the CT map within one reconstructed voxel dimension.</w:t>
            </w:r>
          </w:p>
        </w:tc>
      </w:tr>
    </w:tbl>
    <w:p w14:paraId="31BFC8DD" w14:textId="77777777" w:rsidR="00E06D97" w:rsidRDefault="00E06D97" w:rsidP="00E06D97">
      <w:pPr>
        <w:pStyle w:val="BodyText"/>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FC77F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786"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6459"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B731AA">
        <w:trPr>
          <w:tblCellSpacing w:w="7" w:type="dxa"/>
        </w:trPr>
        <w:tc>
          <w:tcPr>
            <w:tcW w:w="1779" w:type="dxa"/>
            <w:vAlign w:val="center"/>
          </w:tcPr>
          <w:p w14:paraId="3BB1FE03" w14:textId="50E94A1F" w:rsidR="00333E64" w:rsidRPr="00FC77FF" w:rsidRDefault="00333E64" w:rsidP="00D743AE">
            <w:r>
              <w:t>Place VOI</w:t>
            </w:r>
          </w:p>
        </w:tc>
        <w:tc>
          <w:tcPr>
            <w:tcW w:w="1786" w:type="dxa"/>
            <w:vAlign w:val="center"/>
          </w:tcPr>
          <w:p w14:paraId="366A9C12" w14:textId="6A4FA88A" w:rsidR="00333E64" w:rsidRPr="006D6220" w:rsidRDefault="00333E64" w:rsidP="00333E64">
            <w:pPr>
              <w:rPr>
                <w:color w:val="808080" w:themeColor="background1" w:themeShade="80"/>
              </w:rPr>
            </w:pPr>
            <w:r w:rsidRPr="006D6220">
              <w:rPr>
                <w:color w:val="808080" w:themeColor="background1" w:themeShade="80"/>
              </w:rPr>
              <w:t>Technologist or image analysis specialist</w:t>
            </w:r>
          </w:p>
        </w:tc>
        <w:tc>
          <w:tcPr>
            <w:tcW w:w="6459" w:type="dxa"/>
            <w:vAlign w:val="center"/>
          </w:tcPr>
          <w:p w14:paraId="32F2365B" w14:textId="18761670" w:rsidR="00333E64" w:rsidRPr="00FC77FF" w:rsidRDefault="00333E64" w:rsidP="002C362B">
            <w:r>
              <w:t xml:space="preserve">For SBR, shall cause to have placed volumes of interest (VOI) on structures of interest and appropriate </w:t>
            </w:r>
            <w:r w:rsidR="002C362B">
              <w:t xml:space="preserve">reference </w:t>
            </w:r>
            <w:r>
              <w:t>tissue.  VOIs include caudate, anterior putamen, and posterior putamen on each side of brain.</w:t>
            </w:r>
          </w:p>
        </w:tc>
      </w:tr>
      <w:tr w:rsidR="00E3377A" w:rsidRPr="00FC77FF" w14:paraId="68393541" w14:textId="77777777" w:rsidTr="00B731AA">
        <w:trPr>
          <w:tblCellSpacing w:w="7" w:type="dxa"/>
        </w:trPr>
        <w:tc>
          <w:tcPr>
            <w:tcW w:w="1779" w:type="dxa"/>
            <w:vAlign w:val="center"/>
          </w:tcPr>
          <w:p w14:paraId="05E765AB" w14:textId="2E19435E" w:rsidR="00E3377A" w:rsidRPr="00FC77FF" w:rsidRDefault="00E3377A" w:rsidP="00D743AE">
            <w:r>
              <w:t xml:space="preserve">Calculate </w:t>
            </w:r>
            <w:proofErr w:type="spellStart"/>
            <w:r>
              <w:t>measurand</w:t>
            </w:r>
            <w:proofErr w:type="spellEnd"/>
          </w:p>
        </w:tc>
        <w:tc>
          <w:tcPr>
            <w:tcW w:w="1786" w:type="dxa"/>
          </w:tcPr>
          <w:p w14:paraId="19340A98" w14:textId="489E0CC6" w:rsidR="00E3377A" w:rsidRPr="006D6220" w:rsidRDefault="00E3377A" w:rsidP="00D743AE">
            <w:pPr>
              <w:rPr>
                <w:color w:val="808080" w:themeColor="background1" w:themeShade="80"/>
              </w:rPr>
            </w:pPr>
            <w:r w:rsidRPr="006D6220">
              <w:rPr>
                <w:color w:val="808080" w:themeColor="background1" w:themeShade="80"/>
              </w:rPr>
              <w:t>Technologist or image analysis specialist</w:t>
            </w:r>
          </w:p>
        </w:tc>
        <w:tc>
          <w:tcPr>
            <w:tcW w:w="6459" w:type="dxa"/>
            <w:vAlign w:val="center"/>
          </w:tcPr>
          <w:p w14:paraId="7C8728E8" w14:textId="2FA548BB" w:rsidR="00E3377A" w:rsidRDefault="00E3377A" w:rsidP="00D743AE">
            <w:r>
              <w:t xml:space="preserve">Shall calculate time-point </w:t>
            </w:r>
            <w:proofErr w:type="spellStart"/>
            <w:r>
              <w:t>measurand</w:t>
            </w:r>
            <w:proofErr w:type="spellEnd"/>
            <w:r>
              <w:t xml:space="preserve"> (SBR or %dose/mL)</w:t>
            </w:r>
          </w:p>
        </w:tc>
      </w:tr>
      <w:tr w:rsidR="0084267C" w:rsidRPr="00FC77FF" w14:paraId="2E05E5DA" w14:textId="77777777" w:rsidTr="00B731AA">
        <w:trPr>
          <w:tblCellSpacing w:w="7" w:type="dxa"/>
        </w:trPr>
        <w:tc>
          <w:tcPr>
            <w:tcW w:w="1779" w:type="dxa"/>
            <w:vAlign w:val="center"/>
          </w:tcPr>
          <w:p w14:paraId="7CC47F6F" w14:textId="5DDA5802" w:rsidR="0084267C" w:rsidRPr="00FC77FF" w:rsidRDefault="00333E64" w:rsidP="00D743AE">
            <w:r>
              <w:t>Certify VOI</w:t>
            </w:r>
          </w:p>
        </w:tc>
        <w:tc>
          <w:tcPr>
            <w:tcW w:w="1786" w:type="dxa"/>
          </w:tcPr>
          <w:p w14:paraId="1959CFA5" w14:textId="4BED726F" w:rsidR="0084267C" w:rsidRPr="006D6220" w:rsidRDefault="00333E64" w:rsidP="00D743AE">
            <w:pPr>
              <w:rPr>
                <w:color w:val="808080" w:themeColor="background1" w:themeShade="80"/>
              </w:rPr>
            </w:pPr>
            <w:r w:rsidRPr="006D6220">
              <w:rPr>
                <w:color w:val="808080" w:themeColor="background1" w:themeShade="80"/>
              </w:rPr>
              <w:t>Qualified physician</w:t>
            </w:r>
          </w:p>
        </w:tc>
        <w:tc>
          <w:tcPr>
            <w:tcW w:w="6459"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B731AA">
        <w:trPr>
          <w:tblCellSpacing w:w="7" w:type="dxa"/>
        </w:trPr>
        <w:tc>
          <w:tcPr>
            <w:tcW w:w="1779" w:type="dxa"/>
            <w:vAlign w:val="center"/>
          </w:tcPr>
          <w:p w14:paraId="190C2225" w14:textId="4FED23EA" w:rsidR="00E3377A" w:rsidRDefault="00E3377A" w:rsidP="00D743AE">
            <w:r>
              <w:t xml:space="preserve">Certify </w:t>
            </w:r>
            <w:proofErr w:type="spellStart"/>
            <w:r>
              <w:t>measurand</w:t>
            </w:r>
            <w:proofErr w:type="spellEnd"/>
          </w:p>
        </w:tc>
        <w:tc>
          <w:tcPr>
            <w:tcW w:w="1786" w:type="dxa"/>
          </w:tcPr>
          <w:p w14:paraId="0186A655" w14:textId="094A7427" w:rsidR="00E3377A" w:rsidRPr="006D6220" w:rsidRDefault="00E3377A" w:rsidP="00D743AE">
            <w:pPr>
              <w:rPr>
                <w:color w:val="808080" w:themeColor="background1" w:themeShade="80"/>
              </w:rPr>
            </w:pPr>
            <w:r w:rsidRPr="006D6220">
              <w:rPr>
                <w:color w:val="808080" w:themeColor="background1" w:themeShade="80"/>
              </w:rPr>
              <w:t>Qualified physician</w:t>
            </w:r>
          </w:p>
        </w:tc>
        <w:tc>
          <w:tcPr>
            <w:tcW w:w="6459" w:type="dxa"/>
            <w:vAlign w:val="center"/>
          </w:tcPr>
          <w:p w14:paraId="25A7C9E5" w14:textId="456E72FE" w:rsidR="00E3377A" w:rsidRDefault="00CF57BF" w:rsidP="00D743AE">
            <w:r>
              <w:t>Shall either (1) agree with region boundaries, (2) reject boundaries and return for reprocessing, or (3) make revisions “on the fly” as indicated.</w:t>
            </w:r>
          </w:p>
        </w:tc>
      </w:tr>
      <w:tr w:rsidR="00D9085F" w:rsidRPr="00FC77FF" w14:paraId="0D01B8AB" w14:textId="77777777" w:rsidTr="00B731AA">
        <w:trPr>
          <w:tblCellSpacing w:w="7" w:type="dxa"/>
        </w:trPr>
        <w:tc>
          <w:tcPr>
            <w:tcW w:w="1779" w:type="dxa"/>
            <w:vAlign w:val="center"/>
          </w:tcPr>
          <w:p w14:paraId="65047182" w14:textId="1F5DBA24" w:rsidR="00D9085F" w:rsidRDefault="00D9085F" w:rsidP="00D743AE">
            <w:r>
              <w:t>classification</w:t>
            </w:r>
          </w:p>
        </w:tc>
        <w:tc>
          <w:tcPr>
            <w:tcW w:w="1786" w:type="dxa"/>
          </w:tcPr>
          <w:p w14:paraId="76837193" w14:textId="1794CFDB" w:rsidR="00D9085F" w:rsidRPr="006D6220" w:rsidRDefault="00D9085F" w:rsidP="00D743AE">
            <w:pPr>
              <w:rPr>
                <w:color w:val="808080" w:themeColor="background1" w:themeShade="80"/>
              </w:rPr>
            </w:pPr>
            <w:r w:rsidRPr="006D6220">
              <w:rPr>
                <w:color w:val="808080" w:themeColor="background1" w:themeShade="80"/>
              </w:rPr>
              <w:t xml:space="preserve">Qualified </w:t>
            </w:r>
            <w:r w:rsidRPr="006D6220">
              <w:rPr>
                <w:color w:val="808080" w:themeColor="background1" w:themeShade="80"/>
              </w:rPr>
              <w:lastRenderedPageBreak/>
              <w:t>physician</w:t>
            </w:r>
          </w:p>
        </w:tc>
        <w:tc>
          <w:tcPr>
            <w:tcW w:w="6459" w:type="dxa"/>
            <w:vAlign w:val="center"/>
          </w:tcPr>
          <w:p w14:paraId="7D65825F" w14:textId="77777777" w:rsidR="00D9085F" w:rsidRDefault="00D9085F" w:rsidP="00D743AE">
            <w:r>
              <w:lastRenderedPageBreak/>
              <w:t xml:space="preserve">Claim 1: interpret </w:t>
            </w:r>
            <w:proofErr w:type="spellStart"/>
            <w:r>
              <w:t>measurand</w:t>
            </w:r>
            <w:proofErr w:type="spellEnd"/>
            <w:r>
              <w:t xml:space="preserve"> as consistent with, or not </w:t>
            </w:r>
            <w:r>
              <w:lastRenderedPageBreak/>
              <w:t>consistent with, Parkinson’s disease.</w:t>
            </w:r>
          </w:p>
          <w:p w14:paraId="0EDA9EA0" w14:textId="77777777" w:rsidR="00D9085F" w:rsidRDefault="00D9085F" w:rsidP="00D743AE">
            <w:r>
              <w:t xml:space="preserve">Claim 2: interpret </w:t>
            </w:r>
            <w:proofErr w:type="spellStart"/>
            <w:r>
              <w:t>measurand</w:t>
            </w:r>
            <w:proofErr w:type="spellEnd"/>
            <w:r>
              <w:t xml:space="preserve"> a consistent with a value of X +/- y, where x is the measured value, and y is the confidence interval described in Section 2 under Claim 2</w:t>
            </w:r>
          </w:p>
          <w:p w14:paraId="2BA8FD14" w14:textId="6B811BAB" w:rsidR="00D9085F" w:rsidRDefault="00D9085F" w:rsidP="00D743AE">
            <w:r>
              <w:t xml:space="preserve">Claim 3: interpret the </w:t>
            </w:r>
            <w:proofErr w:type="spellStart"/>
            <w:r>
              <w:t>measurand</w:t>
            </w:r>
            <w:proofErr w:type="spellEnd"/>
            <w:r>
              <w:t xml:space="preserve"> as consistent with, or not diagnostic of, change greater than the Repeatability Coefficient (RC) described above</w:t>
            </w:r>
          </w:p>
        </w:tc>
      </w:tr>
    </w:tbl>
    <w:p w14:paraId="009FF538" w14:textId="74041206"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30" w:name="_Toc448590637"/>
      <w:r>
        <w:lastRenderedPageBreak/>
        <w:t>4</w:t>
      </w:r>
      <w:r w:rsidRPr="00D92917">
        <w:t xml:space="preserve">. </w:t>
      </w:r>
      <w:bookmarkEnd w:id="28"/>
      <w:r>
        <w:t>Assessment Procedures</w:t>
      </w:r>
      <w:bookmarkEnd w:id="30"/>
    </w:p>
    <w:p w14:paraId="32641079" w14:textId="74012DAB" w:rsidR="0029550F" w:rsidRDefault="0029550F" w:rsidP="00B228E6">
      <w:pPr>
        <w:pStyle w:val="Heading2"/>
      </w:pPr>
      <w:bookmarkStart w:id="31" w:name="_Toc292350669"/>
      <w:r>
        <w:t xml:space="preserve">4.2.5 Assessment Procedure: Voxel noise in the </w:t>
      </w:r>
      <w:r w:rsidR="002C362B">
        <w:t>reference/</w:t>
      </w:r>
      <w:r>
        <w:t>background compartment</w:t>
      </w:r>
    </w:p>
    <w:p w14:paraId="3FDD3071" w14:textId="77777777" w:rsidR="002F56F0"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5613AB" w:rsidRDefault="002F56F0" w:rsidP="00A7768A">
            <w:pPr>
              <w:rPr>
                <w:b/>
              </w:rPr>
            </w:pPr>
            <w:r w:rsidRPr="005613AB">
              <w:rPr>
                <w:b/>
              </w:rPr>
              <w:t>Parameter</w:t>
            </w:r>
          </w:p>
        </w:tc>
        <w:tc>
          <w:tcPr>
            <w:tcW w:w="1786" w:type="dxa"/>
            <w:shd w:val="clear" w:color="auto" w:fill="D9D9D9" w:themeFill="background1" w:themeFillShade="D9"/>
            <w:vAlign w:val="center"/>
          </w:tcPr>
          <w:p w14:paraId="219796D4" w14:textId="77777777" w:rsidR="002F56F0" w:rsidRPr="005613AB" w:rsidRDefault="002F56F0" w:rsidP="00A7768A">
            <w:pPr>
              <w:rPr>
                <w:b/>
              </w:rPr>
            </w:pPr>
            <w:r>
              <w:rPr>
                <w:b/>
              </w:rPr>
              <w:t>Entity/</w:t>
            </w:r>
            <w:r w:rsidRPr="005613AB">
              <w:rPr>
                <w:b/>
              </w:rPr>
              <w:t>Actor</w:t>
            </w:r>
          </w:p>
        </w:tc>
        <w:tc>
          <w:tcPr>
            <w:tcW w:w="6459" w:type="dxa"/>
            <w:shd w:val="clear" w:color="auto" w:fill="D9D9D9" w:themeFill="background1" w:themeFillShade="D9"/>
            <w:vAlign w:val="center"/>
          </w:tcPr>
          <w:p w14:paraId="4F8219DB" w14:textId="77777777" w:rsidR="002F56F0" w:rsidRPr="000E5B90" w:rsidRDefault="002F56F0" w:rsidP="00A7768A">
            <w:pPr>
              <w:rPr>
                <w:b/>
              </w:rPr>
            </w:pPr>
            <w:r w:rsidRPr="000E5B90">
              <w:rPr>
                <w:b/>
              </w:rPr>
              <w:t>Requirement</w:t>
            </w:r>
          </w:p>
        </w:tc>
      </w:tr>
      <w:tr w:rsidR="002F56F0" w:rsidRPr="00FC77FF" w14:paraId="3A62CA5B" w14:textId="77777777" w:rsidTr="00B731AA">
        <w:trPr>
          <w:tblCellSpacing w:w="7" w:type="dxa"/>
        </w:trPr>
        <w:tc>
          <w:tcPr>
            <w:tcW w:w="1779" w:type="dxa"/>
            <w:vAlign w:val="center"/>
          </w:tcPr>
          <w:p w14:paraId="65AF5832" w14:textId="77777777" w:rsidR="002F56F0" w:rsidRPr="00FC77FF" w:rsidRDefault="002F56F0" w:rsidP="00A7768A">
            <w:r>
              <w:t>Planar Uniformity QC</w:t>
            </w:r>
          </w:p>
        </w:tc>
        <w:tc>
          <w:tcPr>
            <w:tcW w:w="1786" w:type="dxa"/>
            <w:vAlign w:val="center"/>
          </w:tcPr>
          <w:p w14:paraId="12D75BC5" w14:textId="77777777" w:rsidR="002F56F0" w:rsidRPr="006D6220" w:rsidRDefault="002F56F0" w:rsidP="00A7768A">
            <w:pPr>
              <w:rPr>
                <w:color w:val="808080" w:themeColor="background1" w:themeShade="80"/>
              </w:rPr>
            </w:pPr>
            <w:r w:rsidRPr="006D6220">
              <w:rPr>
                <w:color w:val="808080" w:themeColor="background1" w:themeShade="80"/>
              </w:rPr>
              <w:t>Technologist</w:t>
            </w:r>
          </w:p>
        </w:tc>
        <w:tc>
          <w:tcPr>
            <w:tcW w:w="6459" w:type="dxa"/>
            <w:vAlign w:val="center"/>
          </w:tcPr>
          <w:p w14:paraId="6AE853BB" w14:textId="77777777" w:rsidR="002F56F0" w:rsidRDefault="002F56F0" w:rsidP="00A7768A">
            <w:r>
              <w:t>At least quarterly and following detector changes, calibrations and/or software upgrades the uniformity of detector response to a uniform flux of radiation of Iodine-123 should be assessed.</w:t>
            </w:r>
          </w:p>
          <w:p w14:paraId="6DE10B7E" w14:textId="77777777" w:rsidR="002F56F0" w:rsidRDefault="002F56F0" w:rsidP="00A7768A"/>
          <w:p w14:paraId="6D82C374" w14:textId="77777777" w:rsidR="002F56F0" w:rsidRDefault="002F56F0" w:rsidP="00A7768A">
            <w:r>
              <w:t>Daily, or at least on the day of a trial subject, the collimated uniformity of the detectors using collimators to be used for Iodine-123 imaging should be assessed using a Tc-99m or Co-57 source.</w:t>
            </w:r>
          </w:p>
          <w:p w14:paraId="4C911B85" w14:textId="77777777" w:rsidR="002F56F0" w:rsidRDefault="002F56F0" w:rsidP="00A7768A"/>
          <w:p w14:paraId="75D9AA2F" w14:textId="77777777" w:rsidR="002F56F0" w:rsidRPr="00FC77FF" w:rsidRDefault="002F56F0" w:rsidP="00A7768A">
            <w:r>
              <w:t xml:space="preserve">For both measurements, uniformity should be measured and assessed in accordance </w:t>
            </w:r>
            <w:r w:rsidRPr="006216C6">
              <w:t>with local regulatory requirements.</w:t>
            </w:r>
          </w:p>
        </w:tc>
      </w:tr>
      <w:tr w:rsidR="002F56F0" w:rsidRPr="00FC77FF" w14:paraId="1FFC7E3C" w14:textId="77777777" w:rsidTr="00B731AA">
        <w:trPr>
          <w:tblCellSpacing w:w="7" w:type="dxa"/>
        </w:trPr>
        <w:tc>
          <w:tcPr>
            <w:tcW w:w="1779" w:type="dxa"/>
            <w:vAlign w:val="center"/>
          </w:tcPr>
          <w:p w14:paraId="7AF9D381" w14:textId="77777777" w:rsidR="002F56F0" w:rsidRPr="00FC77FF" w:rsidRDefault="002F56F0" w:rsidP="00A7768A">
            <w:r>
              <w:t>SPECT uniformity QC</w:t>
            </w:r>
          </w:p>
        </w:tc>
        <w:tc>
          <w:tcPr>
            <w:tcW w:w="1786" w:type="dxa"/>
            <w:vAlign w:val="center"/>
          </w:tcPr>
          <w:p w14:paraId="5D3402E2" w14:textId="77777777" w:rsidR="002F56F0" w:rsidRPr="006D6220" w:rsidRDefault="002F56F0" w:rsidP="00A7768A">
            <w:pPr>
              <w:rPr>
                <w:color w:val="808080" w:themeColor="background1" w:themeShade="80"/>
              </w:rPr>
            </w:pPr>
            <w:r w:rsidRPr="006D6220">
              <w:rPr>
                <w:color w:val="808080" w:themeColor="background1" w:themeShade="80"/>
              </w:rPr>
              <w:t>Technologist</w:t>
            </w:r>
          </w:p>
          <w:p w14:paraId="2F5F7E15" w14:textId="77777777" w:rsidR="002F56F0" w:rsidRPr="006D6220" w:rsidRDefault="002F56F0" w:rsidP="00A7768A">
            <w:pPr>
              <w:rPr>
                <w:color w:val="808080" w:themeColor="background1" w:themeShade="80"/>
              </w:rPr>
            </w:pPr>
            <w:r w:rsidRPr="006D6220">
              <w:rPr>
                <w:color w:val="808080" w:themeColor="background1" w:themeShade="80"/>
              </w:rPr>
              <w:t xml:space="preserve">or </w:t>
            </w:r>
          </w:p>
          <w:p w14:paraId="7D74A745" w14:textId="77777777" w:rsidR="002F56F0" w:rsidRPr="006D6220" w:rsidRDefault="002F56F0" w:rsidP="00A7768A">
            <w:pPr>
              <w:rPr>
                <w:color w:val="808080" w:themeColor="background1" w:themeShade="80"/>
              </w:rPr>
            </w:pPr>
            <w:r w:rsidRPr="006D6220">
              <w:rPr>
                <w:color w:val="808080" w:themeColor="background1" w:themeShade="80"/>
              </w:rPr>
              <w:t>Medical Physicist</w:t>
            </w:r>
          </w:p>
        </w:tc>
        <w:tc>
          <w:tcPr>
            <w:tcW w:w="6459" w:type="dxa"/>
            <w:vAlign w:val="center"/>
          </w:tcPr>
          <w:p w14:paraId="7F41F261" w14:textId="2385D960" w:rsidR="002F56F0" w:rsidRPr="00FC77FF" w:rsidRDefault="002F56F0" w:rsidP="00730DA6">
            <w:r>
              <w:t>At least quarterly and following detector changes, calibrations and/or software upgrades, the SPECT uniformity should be measured using acquisition parameters defined in the clinical protocol trial</w:t>
            </w:r>
            <w:r w:rsidR="00730DA6">
              <w:t>.</w:t>
            </w:r>
          </w:p>
        </w:tc>
      </w:tr>
    </w:tbl>
    <w:p w14:paraId="42CF089F" w14:textId="7BC34050" w:rsidR="00A5125F" w:rsidRPr="00170F6B" w:rsidDel="00677D11" w:rsidRDefault="00A5125F" w:rsidP="00A5125F">
      <w:pPr>
        <w:rPr>
          <w:rFonts w:asciiTheme="minorHAnsi" w:hAnsiTheme="minorHAnsi"/>
        </w:rPr>
      </w:pPr>
    </w:p>
    <w:bookmarkEnd w:id="31"/>
    <w:p w14:paraId="30C802CC" w14:textId="367A33DA" w:rsidR="00D743AE" w:rsidRDefault="00D743AE" w:rsidP="006D6220">
      <w:pPr>
        <w:widowControl/>
        <w:autoSpaceDE/>
        <w:autoSpaceDN/>
        <w:adjustRightInd/>
        <w:spacing w:before="199" w:after="199"/>
        <w:outlineLvl w:val="1"/>
      </w:pPr>
    </w:p>
    <w:sectPr w:rsidR="00D743AE" w:rsidSect="006F4E3E">
      <w:headerReference w:type="default" r:id="rId9"/>
      <w:footerReference w:type="default" r:id="rId10"/>
      <w:pgSz w:w="12240" w:h="15840"/>
      <w:pgMar w:top="1440" w:right="1008" w:bottom="720" w:left="1008"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4F86" w14:textId="77777777" w:rsidR="00E97A9E" w:rsidRDefault="00E97A9E" w:rsidP="003700D0">
      <w:r>
        <w:separator/>
      </w:r>
    </w:p>
  </w:endnote>
  <w:endnote w:type="continuationSeparator" w:id="0">
    <w:p w14:paraId="0E80B74D" w14:textId="77777777" w:rsidR="00E97A9E" w:rsidRDefault="00E97A9E"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A879" w14:textId="77777777" w:rsidR="00CC5475" w:rsidRDefault="00CC5475">
    <w:pPr>
      <w:pStyle w:val="Footer"/>
      <w:rPr>
        <w:b/>
        <w:color w:val="002060"/>
        <w:sz w:val="20"/>
      </w:rPr>
    </w:pPr>
  </w:p>
  <w:p w14:paraId="3E8835C8" w14:textId="1C63C2EC" w:rsidR="00CC5475" w:rsidRPr="00D92993" w:rsidRDefault="00CC5475" w:rsidP="00D92993">
    <w:pPr>
      <w:pStyle w:val="Footer"/>
      <w:jc w:val="both"/>
      <w:rPr>
        <w:b/>
        <w:color w:val="002060"/>
        <w:sz w:val="16"/>
      </w:rPr>
    </w:pPr>
    <w:r w:rsidRPr="006C322E">
      <w:rPr>
        <w:b/>
        <w:color w:val="002060"/>
        <w:sz w:val="20"/>
      </w:rPr>
      <w:t xml:space="preserve">Version </w:t>
    </w:r>
    <w:r>
      <w:rPr>
        <w:b/>
        <w:color w:val="002060"/>
        <w:sz w:val="20"/>
      </w:rPr>
      <w:t xml:space="preserve">1.0 </w:t>
    </w:r>
    <w:r w:rsidRPr="006C322E">
      <w:rPr>
        <w:b/>
        <w:color w:val="002060"/>
        <w:sz w:val="20"/>
      </w:rPr>
      <w:t xml:space="preserve">of </w:t>
    </w:r>
    <w:r>
      <w:rPr>
        <w:b/>
        <w:color w:val="002060"/>
        <w:sz w:val="20"/>
      </w:rPr>
      <w:t xml:space="preserve">20 Oct 2016; </w:t>
    </w:r>
    <w:r>
      <w:rPr>
        <w:b/>
        <w:color w:val="002060"/>
        <w:sz w:val="20"/>
      </w:rPr>
      <w:tab/>
    </w:r>
    <w:r>
      <w:rPr>
        <w:b/>
        <w:color w:val="002060"/>
        <w:sz w:val="20"/>
      </w:rPr>
      <w:tab/>
      <w:t xml:space="preserve">based on </w:t>
    </w:r>
    <w:r w:rsidRPr="009903DB">
      <w:rPr>
        <w:b/>
        <w:color w:val="002060"/>
        <w:sz w:val="20"/>
      </w:rPr>
      <w:fldChar w:fldCharType="begin"/>
    </w:r>
    <w:r w:rsidRPr="009903DB">
      <w:rPr>
        <w:b/>
        <w:color w:val="002060"/>
        <w:sz w:val="20"/>
      </w:rPr>
      <w:instrText xml:space="preserve"> FILENAME   \* MERGEFORMAT </w:instrText>
    </w:r>
    <w:r w:rsidRPr="009903DB">
      <w:rPr>
        <w:b/>
        <w:color w:val="002060"/>
        <w:sz w:val="20"/>
      </w:rPr>
      <w:fldChar w:fldCharType="separate"/>
    </w:r>
    <w:r w:rsidRPr="009903DB">
      <w:rPr>
        <w:b/>
        <w:noProof/>
        <w:color w:val="002060"/>
        <w:sz w:val="20"/>
      </w:rPr>
      <w:t>QIBA Profile Template version of 2015.11.05</w:t>
    </w:r>
    <w:r w:rsidRPr="009903DB">
      <w:rPr>
        <w:b/>
        <w:noProof/>
        <w:color w:val="00206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1E733" w14:textId="77777777" w:rsidR="00E97A9E" w:rsidRDefault="00E97A9E" w:rsidP="003700D0">
      <w:r>
        <w:separator/>
      </w:r>
    </w:p>
  </w:footnote>
  <w:footnote w:type="continuationSeparator" w:id="0">
    <w:p w14:paraId="2A84FF5F" w14:textId="77777777" w:rsidR="00E97A9E" w:rsidRDefault="00E97A9E"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6EA7C652" w:rsidR="00CC5475" w:rsidRDefault="00CC5475">
    <w:pPr>
      <w:pStyle w:val="Header"/>
    </w:pPr>
    <w:r>
      <w:ptab w:relativeTo="margin" w:alignment="center" w:leader="none"/>
    </w:r>
    <w:r w:rsidR="00AC3F21">
      <w:t xml:space="preserve">Conformance Checklist for </w:t>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0616EC"/>
    <w:multiLevelType w:val="hybridMultilevel"/>
    <w:tmpl w:val="79C28AE8"/>
    <w:lvl w:ilvl="0" w:tplc="538A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6"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7"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8"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20"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1"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2"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5"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8"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9" w15:restartNumberingAfterBreak="0">
    <w:nsid w:val="4D0A405E"/>
    <w:multiLevelType w:val="hybridMultilevel"/>
    <w:tmpl w:val="4F0044A4"/>
    <w:lvl w:ilvl="0" w:tplc="02D8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31"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2"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B42E5"/>
    <w:multiLevelType w:val="hybridMultilevel"/>
    <w:tmpl w:val="CDCC8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4"/>
  </w:num>
  <w:num w:numId="4">
    <w:abstractNumId w:val="0"/>
  </w:num>
  <w:num w:numId="5">
    <w:abstractNumId w:val="16"/>
  </w:num>
  <w:num w:numId="6">
    <w:abstractNumId w:val="40"/>
  </w:num>
  <w:num w:numId="7">
    <w:abstractNumId w:val="36"/>
  </w:num>
  <w:num w:numId="8">
    <w:abstractNumId w:val="11"/>
  </w:num>
  <w:num w:numId="9">
    <w:abstractNumId w:val="30"/>
  </w:num>
  <w:num w:numId="10">
    <w:abstractNumId w:val="6"/>
  </w:num>
  <w:num w:numId="11">
    <w:abstractNumId w:val="28"/>
  </w:num>
  <w:num w:numId="12">
    <w:abstractNumId w:val="20"/>
  </w:num>
  <w:num w:numId="13">
    <w:abstractNumId w:val="7"/>
  </w:num>
  <w:num w:numId="14">
    <w:abstractNumId w:val="12"/>
  </w:num>
  <w:num w:numId="15">
    <w:abstractNumId w:val="5"/>
  </w:num>
  <w:num w:numId="16">
    <w:abstractNumId w:val="19"/>
  </w:num>
  <w:num w:numId="17">
    <w:abstractNumId w:val="24"/>
  </w:num>
  <w:num w:numId="18">
    <w:abstractNumId w:val="21"/>
  </w:num>
  <w:num w:numId="19">
    <w:abstractNumId w:val="8"/>
  </w:num>
  <w:num w:numId="20">
    <w:abstractNumId w:val="42"/>
  </w:num>
  <w:num w:numId="21">
    <w:abstractNumId w:val="22"/>
  </w:num>
  <w:num w:numId="22">
    <w:abstractNumId w:val="33"/>
  </w:num>
  <w:num w:numId="23">
    <w:abstractNumId w:val="18"/>
  </w:num>
  <w:num w:numId="24">
    <w:abstractNumId w:val="35"/>
  </w:num>
  <w:num w:numId="25">
    <w:abstractNumId w:val="4"/>
  </w:num>
  <w:num w:numId="26">
    <w:abstractNumId w:val="44"/>
  </w:num>
  <w:num w:numId="27">
    <w:abstractNumId w:val="10"/>
  </w:num>
  <w:num w:numId="28">
    <w:abstractNumId w:val="2"/>
  </w:num>
  <w:num w:numId="29">
    <w:abstractNumId w:val="31"/>
  </w:num>
  <w:num w:numId="30">
    <w:abstractNumId w:val="26"/>
  </w:num>
  <w:num w:numId="31">
    <w:abstractNumId w:val="41"/>
  </w:num>
  <w:num w:numId="32">
    <w:abstractNumId w:val="9"/>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5"/>
  </w:num>
  <w:num w:numId="37">
    <w:abstractNumId w:val="1"/>
  </w:num>
  <w:num w:numId="38">
    <w:abstractNumId w:val="39"/>
  </w:num>
  <w:num w:numId="39">
    <w:abstractNumId w:val="17"/>
  </w:num>
  <w:num w:numId="40">
    <w:abstractNumId w:val="32"/>
  </w:num>
  <w:num w:numId="41">
    <w:abstractNumId w:val="34"/>
  </w:num>
  <w:num w:numId="42">
    <w:abstractNumId w:val="27"/>
  </w:num>
  <w:num w:numId="43">
    <w:abstractNumId w:val="43"/>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05221"/>
    <w:rsid w:val="00007029"/>
    <w:rsid w:val="0000737F"/>
    <w:rsid w:val="00007B7B"/>
    <w:rsid w:val="0001380C"/>
    <w:rsid w:val="00020436"/>
    <w:rsid w:val="00020559"/>
    <w:rsid w:val="00020992"/>
    <w:rsid w:val="00022C8C"/>
    <w:rsid w:val="000258D9"/>
    <w:rsid w:val="000279B3"/>
    <w:rsid w:val="000325AE"/>
    <w:rsid w:val="000355B8"/>
    <w:rsid w:val="00043C17"/>
    <w:rsid w:val="0005024A"/>
    <w:rsid w:val="00051277"/>
    <w:rsid w:val="000517CB"/>
    <w:rsid w:val="000537AB"/>
    <w:rsid w:val="00054D94"/>
    <w:rsid w:val="000577E8"/>
    <w:rsid w:val="00064C89"/>
    <w:rsid w:val="0006756A"/>
    <w:rsid w:val="00067E29"/>
    <w:rsid w:val="000701B2"/>
    <w:rsid w:val="000728D8"/>
    <w:rsid w:val="00073A0E"/>
    <w:rsid w:val="0008618B"/>
    <w:rsid w:val="00087B76"/>
    <w:rsid w:val="000914DA"/>
    <w:rsid w:val="00092252"/>
    <w:rsid w:val="00092BC6"/>
    <w:rsid w:val="00092EB3"/>
    <w:rsid w:val="000942F6"/>
    <w:rsid w:val="00094A16"/>
    <w:rsid w:val="000B18D7"/>
    <w:rsid w:val="000B7789"/>
    <w:rsid w:val="000C0888"/>
    <w:rsid w:val="000C21AF"/>
    <w:rsid w:val="000C3065"/>
    <w:rsid w:val="000C3612"/>
    <w:rsid w:val="000C64B3"/>
    <w:rsid w:val="000C67C0"/>
    <w:rsid w:val="000D2B6E"/>
    <w:rsid w:val="000D48D6"/>
    <w:rsid w:val="000D4AC6"/>
    <w:rsid w:val="000D4F4D"/>
    <w:rsid w:val="000E2280"/>
    <w:rsid w:val="000E30AB"/>
    <w:rsid w:val="000E36F9"/>
    <w:rsid w:val="000E4458"/>
    <w:rsid w:val="000E4577"/>
    <w:rsid w:val="000E5B90"/>
    <w:rsid w:val="000F03E0"/>
    <w:rsid w:val="000F33D4"/>
    <w:rsid w:val="000F6DF5"/>
    <w:rsid w:val="000F75CD"/>
    <w:rsid w:val="000F79E5"/>
    <w:rsid w:val="00102D5A"/>
    <w:rsid w:val="00107B1E"/>
    <w:rsid w:val="0011129D"/>
    <w:rsid w:val="00113402"/>
    <w:rsid w:val="00114BBF"/>
    <w:rsid w:val="00116AC8"/>
    <w:rsid w:val="00117091"/>
    <w:rsid w:val="00123FB2"/>
    <w:rsid w:val="00130C9D"/>
    <w:rsid w:val="00134CC7"/>
    <w:rsid w:val="00135740"/>
    <w:rsid w:val="00137B34"/>
    <w:rsid w:val="0014748D"/>
    <w:rsid w:val="00150055"/>
    <w:rsid w:val="0015049D"/>
    <w:rsid w:val="00154E52"/>
    <w:rsid w:val="001555B4"/>
    <w:rsid w:val="0015696F"/>
    <w:rsid w:val="0016513C"/>
    <w:rsid w:val="00165EB6"/>
    <w:rsid w:val="00170F6B"/>
    <w:rsid w:val="001740A2"/>
    <w:rsid w:val="001742A6"/>
    <w:rsid w:val="00181544"/>
    <w:rsid w:val="001823C8"/>
    <w:rsid w:val="00183F50"/>
    <w:rsid w:val="00184821"/>
    <w:rsid w:val="00191817"/>
    <w:rsid w:val="00193030"/>
    <w:rsid w:val="001A0540"/>
    <w:rsid w:val="001A073A"/>
    <w:rsid w:val="001A2CB1"/>
    <w:rsid w:val="001A7164"/>
    <w:rsid w:val="001B05A1"/>
    <w:rsid w:val="001B7E5C"/>
    <w:rsid w:val="001C1B43"/>
    <w:rsid w:val="001C36BA"/>
    <w:rsid w:val="001C47B1"/>
    <w:rsid w:val="001C65C1"/>
    <w:rsid w:val="001C6C8C"/>
    <w:rsid w:val="001D0B8A"/>
    <w:rsid w:val="001D2752"/>
    <w:rsid w:val="001D5E39"/>
    <w:rsid w:val="001E0991"/>
    <w:rsid w:val="001E0A7D"/>
    <w:rsid w:val="001E1EC9"/>
    <w:rsid w:val="001E4E0A"/>
    <w:rsid w:val="001E56E5"/>
    <w:rsid w:val="001F5AA6"/>
    <w:rsid w:val="00200BF6"/>
    <w:rsid w:val="002023EA"/>
    <w:rsid w:val="002036DE"/>
    <w:rsid w:val="00207878"/>
    <w:rsid w:val="00211800"/>
    <w:rsid w:val="00211C09"/>
    <w:rsid w:val="00215111"/>
    <w:rsid w:val="00216639"/>
    <w:rsid w:val="00217131"/>
    <w:rsid w:val="00220BF4"/>
    <w:rsid w:val="00222460"/>
    <w:rsid w:val="00222B21"/>
    <w:rsid w:val="00227F34"/>
    <w:rsid w:val="0023374E"/>
    <w:rsid w:val="00241EB0"/>
    <w:rsid w:val="00246245"/>
    <w:rsid w:val="00253324"/>
    <w:rsid w:val="00260378"/>
    <w:rsid w:val="00260AD3"/>
    <w:rsid w:val="00264581"/>
    <w:rsid w:val="00267861"/>
    <w:rsid w:val="0027111B"/>
    <w:rsid w:val="00273828"/>
    <w:rsid w:val="002754F4"/>
    <w:rsid w:val="00280D89"/>
    <w:rsid w:val="00286693"/>
    <w:rsid w:val="00291AEB"/>
    <w:rsid w:val="0029550F"/>
    <w:rsid w:val="002A0E3E"/>
    <w:rsid w:val="002A1AF7"/>
    <w:rsid w:val="002A300A"/>
    <w:rsid w:val="002A5934"/>
    <w:rsid w:val="002A5EE0"/>
    <w:rsid w:val="002B0A2C"/>
    <w:rsid w:val="002B3200"/>
    <w:rsid w:val="002B5753"/>
    <w:rsid w:val="002B60C5"/>
    <w:rsid w:val="002B748A"/>
    <w:rsid w:val="002C181C"/>
    <w:rsid w:val="002C362B"/>
    <w:rsid w:val="002C6B13"/>
    <w:rsid w:val="002C7AFF"/>
    <w:rsid w:val="002D0046"/>
    <w:rsid w:val="002D46BE"/>
    <w:rsid w:val="002E6E30"/>
    <w:rsid w:val="002F187C"/>
    <w:rsid w:val="002F56F0"/>
    <w:rsid w:val="0030442A"/>
    <w:rsid w:val="00305767"/>
    <w:rsid w:val="003111A5"/>
    <w:rsid w:val="003202AB"/>
    <w:rsid w:val="00320FA0"/>
    <w:rsid w:val="003317F8"/>
    <w:rsid w:val="00331907"/>
    <w:rsid w:val="00333E64"/>
    <w:rsid w:val="00337368"/>
    <w:rsid w:val="00342B13"/>
    <w:rsid w:val="00344BB5"/>
    <w:rsid w:val="00357FBF"/>
    <w:rsid w:val="00360044"/>
    <w:rsid w:val="00360AB3"/>
    <w:rsid w:val="0036334A"/>
    <w:rsid w:val="003650ED"/>
    <w:rsid w:val="003700D0"/>
    <w:rsid w:val="00373BE0"/>
    <w:rsid w:val="00374DBC"/>
    <w:rsid w:val="00376700"/>
    <w:rsid w:val="00382DCD"/>
    <w:rsid w:val="0038480E"/>
    <w:rsid w:val="00384FFE"/>
    <w:rsid w:val="00385BCC"/>
    <w:rsid w:val="00391881"/>
    <w:rsid w:val="003919F0"/>
    <w:rsid w:val="0039369E"/>
    <w:rsid w:val="00394CA5"/>
    <w:rsid w:val="00394EA6"/>
    <w:rsid w:val="003A0AC4"/>
    <w:rsid w:val="003A5359"/>
    <w:rsid w:val="003A7085"/>
    <w:rsid w:val="003B0D8A"/>
    <w:rsid w:val="003B41E0"/>
    <w:rsid w:val="003B5C79"/>
    <w:rsid w:val="003C0FA6"/>
    <w:rsid w:val="003C2288"/>
    <w:rsid w:val="003C52BE"/>
    <w:rsid w:val="003D30FA"/>
    <w:rsid w:val="003D4174"/>
    <w:rsid w:val="003E7150"/>
    <w:rsid w:val="003F1423"/>
    <w:rsid w:val="003F4BB7"/>
    <w:rsid w:val="003F61A7"/>
    <w:rsid w:val="003F7789"/>
    <w:rsid w:val="00402BBD"/>
    <w:rsid w:val="0040381E"/>
    <w:rsid w:val="00403971"/>
    <w:rsid w:val="00406C3C"/>
    <w:rsid w:val="00425483"/>
    <w:rsid w:val="004267F8"/>
    <w:rsid w:val="00426AB5"/>
    <w:rsid w:val="004303E5"/>
    <w:rsid w:val="00431DBE"/>
    <w:rsid w:val="00441096"/>
    <w:rsid w:val="00453B66"/>
    <w:rsid w:val="0045512B"/>
    <w:rsid w:val="0046240C"/>
    <w:rsid w:val="004648BB"/>
    <w:rsid w:val="004654C1"/>
    <w:rsid w:val="00467BA6"/>
    <w:rsid w:val="004723C8"/>
    <w:rsid w:val="004836D5"/>
    <w:rsid w:val="0049735B"/>
    <w:rsid w:val="00497394"/>
    <w:rsid w:val="004A1DDF"/>
    <w:rsid w:val="004A69A8"/>
    <w:rsid w:val="004A71F3"/>
    <w:rsid w:val="004B1C0B"/>
    <w:rsid w:val="004B2AD2"/>
    <w:rsid w:val="004B3FC1"/>
    <w:rsid w:val="004B5DC0"/>
    <w:rsid w:val="004B7D16"/>
    <w:rsid w:val="004C2EC6"/>
    <w:rsid w:val="004C7DF2"/>
    <w:rsid w:val="004D17C6"/>
    <w:rsid w:val="004D2346"/>
    <w:rsid w:val="004E0572"/>
    <w:rsid w:val="004E39F7"/>
    <w:rsid w:val="004E5B40"/>
    <w:rsid w:val="004E6B78"/>
    <w:rsid w:val="004E7941"/>
    <w:rsid w:val="004F404A"/>
    <w:rsid w:val="00500E11"/>
    <w:rsid w:val="00507680"/>
    <w:rsid w:val="005103EF"/>
    <w:rsid w:val="00512BF4"/>
    <w:rsid w:val="005135FF"/>
    <w:rsid w:val="005145C7"/>
    <w:rsid w:val="0051561B"/>
    <w:rsid w:val="00516BAE"/>
    <w:rsid w:val="00530C86"/>
    <w:rsid w:val="00533232"/>
    <w:rsid w:val="0053386F"/>
    <w:rsid w:val="005372B7"/>
    <w:rsid w:val="005407F1"/>
    <w:rsid w:val="0054355D"/>
    <w:rsid w:val="00545445"/>
    <w:rsid w:val="00550C50"/>
    <w:rsid w:val="005527FB"/>
    <w:rsid w:val="00560447"/>
    <w:rsid w:val="00560D14"/>
    <w:rsid w:val="00561E17"/>
    <w:rsid w:val="00563FE6"/>
    <w:rsid w:val="005647B7"/>
    <w:rsid w:val="005679F4"/>
    <w:rsid w:val="0057121B"/>
    <w:rsid w:val="00572106"/>
    <w:rsid w:val="00577AE5"/>
    <w:rsid w:val="005801E9"/>
    <w:rsid w:val="0058026D"/>
    <w:rsid w:val="005808AC"/>
    <w:rsid w:val="00592DB5"/>
    <w:rsid w:val="0059501F"/>
    <w:rsid w:val="005A15C8"/>
    <w:rsid w:val="005A1742"/>
    <w:rsid w:val="005A540D"/>
    <w:rsid w:val="005A647A"/>
    <w:rsid w:val="005A6DA7"/>
    <w:rsid w:val="005B266B"/>
    <w:rsid w:val="005B42A4"/>
    <w:rsid w:val="005C1C5B"/>
    <w:rsid w:val="005C2700"/>
    <w:rsid w:val="005C34B2"/>
    <w:rsid w:val="005C4763"/>
    <w:rsid w:val="005D0A50"/>
    <w:rsid w:val="005D2326"/>
    <w:rsid w:val="005D2E32"/>
    <w:rsid w:val="005D687D"/>
    <w:rsid w:val="005D6B46"/>
    <w:rsid w:val="005D7BEA"/>
    <w:rsid w:val="005E126F"/>
    <w:rsid w:val="005E26B3"/>
    <w:rsid w:val="005E3449"/>
    <w:rsid w:val="005E4593"/>
    <w:rsid w:val="005E52B2"/>
    <w:rsid w:val="005E577D"/>
    <w:rsid w:val="005E6155"/>
    <w:rsid w:val="005F1C23"/>
    <w:rsid w:val="005F3526"/>
    <w:rsid w:val="005F3ACC"/>
    <w:rsid w:val="005F5E2D"/>
    <w:rsid w:val="005F606F"/>
    <w:rsid w:val="005F6EDC"/>
    <w:rsid w:val="00600BE8"/>
    <w:rsid w:val="00601D2F"/>
    <w:rsid w:val="00611D52"/>
    <w:rsid w:val="0061311B"/>
    <w:rsid w:val="006134F1"/>
    <w:rsid w:val="00614F9B"/>
    <w:rsid w:val="00616664"/>
    <w:rsid w:val="00617D1E"/>
    <w:rsid w:val="006216C6"/>
    <w:rsid w:val="0062319E"/>
    <w:rsid w:val="006340C7"/>
    <w:rsid w:val="00634EF3"/>
    <w:rsid w:val="00635637"/>
    <w:rsid w:val="00636392"/>
    <w:rsid w:val="006367D8"/>
    <w:rsid w:val="006435B3"/>
    <w:rsid w:val="0065536F"/>
    <w:rsid w:val="006572F9"/>
    <w:rsid w:val="006646EA"/>
    <w:rsid w:val="00666B23"/>
    <w:rsid w:val="006672D9"/>
    <w:rsid w:val="006678CA"/>
    <w:rsid w:val="00667DDA"/>
    <w:rsid w:val="00670981"/>
    <w:rsid w:val="00670B68"/>
    <w:rsid w:val="006731DD"/>
    <w:rsid w:val="006738F2"/>
    <w:rsid w:val="00675149"/>
    <w:rsid w:val="00676000"/>
    <w:rsid w:val="00676241"/>
    <w:rsid w:val="00677D11"/>
    <w:rsid w:val="00681FE3"/>
    <w:rsid w:val="00687CB6"/>
    <w:rsid w:val="006A0C16"/>
    <w:rsid w:val="006A105F"/>
    <w:rsid w:val="006A69C4"/>
    <w:rsid w:val="006B1914"/>
    <w:rsid w:val="006B1C20"/>
    <w:rsid w:val="006B57C5"/>
    <w:rsid w:val="006C0F47"/>
    <w:rsid w:val="006C14C7"/>
    <w:rsid w:val="006C322E"/>
    <w:rsid w:val="006C5D91"/>
    <w:rsid w:val="006D1704"/>
    <w:rsid w:val="006D27C2"/>
    <w:rsid w:val="006D4973"/>
    <w:rsid w:val="006D6220"/>
    <w:rsid w:val="006E067E"/>
    <w:rsid w:val="006E09FB"/>
    <w:rsid w:val="006E0E7E"/>
    <w:rsid w:val="006E0F4A"/>
    <w:rsid w:val="006E7495"/>
    <w:rsid w:val="006F00EF"/>
    <w:rsid w:val="006F0609"/>
    <w:rsid w:val="006F224F"/>
    <w:rsid w:val="006F2C41"/>
    <w:rsid w:val="006F4E3E"/>
    <w:rsid w:val="007040ED"/>
    <w:rsid w:val="00705605"/>
    <w:rsid w:val="00705ABA"/>
    <w:rsid w:val="0070615D"/>
    <w:rsid w:val="00711878"/>
    <w:rsid w:val="00713506"/>
    <w:rsid w:val="007147F7"/>
    <w:rsid w:val="007153E6"/>
    <w:rsid w:val="00722E52"/>
    <w:rsid w:val="0072303F"/>
    <w:rsid w:val="00723264"/>
    <w:rsid w:val="00730DA6"/>
    <w:rsid w:val="00731061"/>
    <w:rsid w:val="007344BE"/>
    <w:rsid w:val="0073516B"/>
    <w:rsid w:val="007379B7"/>
    <w:rsid w:val="00744081"/>
    <w:rsid w:val="00750788"/>
    <w:rsid w:val="00757B75"/>
    <w:rsid w:val="00764511"/>
    <w:rsid w:val="00772765"/>
    <w:rsid w:val="00773F58"/>
    <w:rsid w:val="00774DBB"/>
    <w:rsid w:val="00776274"/>
    <w:rsid w:val="007768A0"/>
    <w:rsid w:val="0077695C"/>
    <w:rsid w:val="00776B66"/>
    <w:rsid w:val="00777094"/>
    <w:rsid w:val="00777250"/>
    <w:rsid w:val="007806D4"/>
    <w:rsid w:val="007810C5"/>
    <w:rsid w:val="0078321E"/>
    <w:rsid w:val="007877BA"/>
    <w:rsid w:val="0079147E"/>
    <w:rsid w:val="00797F86"/>
    <w:rsid w:val="007A001B"/>
    <w:rsid w:val="007A0EA0"/>
    <w:rsid w:val="007A359C"/>
    <w:rsid w:val="007A3797"/>
    <w:rsid w:val="007A6465"/>
    <w:rsid w:val="007B18D0"/>
    <w:rsid w:val="007B3226"/>
    <w:rsid w:val="007B3526"/>
    <w:rsid w:val="007B5C23"/>
    <w:rsid w:val="007D23D8"/>
    <w:rsid w:val="007D73A8"/>
    <w:rsid w:val="007E0B5E"/>
    <w:rsid w:val="007E0D6E"/>
    <w:rsid w:val="007E146C"/>
    <w:rsid w:val="007E5C3F"/>
    <w:rsid w:val="007F3321"/>
    <w:rsid w:val="007F5E2D"/>
    <w:rsid w:val="007F69F5"/>
    <w:rsid w:val="00805276"/>
    <w:rsid w:val="008069EF"/>
    <w:rsid w:val="00807DB5"/>
    <w:rsid w:val="00811BCA"/>
    <w:rsid w:val="00814400"/>
    <w:rsid w:val="00814990"/>
    <w:rsid w:val="008211DC"/>
    <w:rsid w:val="00822032"/>
    <w:rsid w:val="00822A38"/>
    <w:rsid w:val="00824E9B"/>
    <w:rsid w:val="00826C99"/>
    <w:rsid w:val="00831E12"/>
    <w:rsid w:val="00840AC1"/>
    <w:rsid w:val="00841CCD"/>
    <w:rsid w:val="0084267C"/>
    <w:rsid w:val="00844361"/>
    <w:rsid w:val="00850424"/>
    <w:rsid w:val="00851A77"/>
    <w:rsid w:val="0085428B"/>
    <w:rsid w:val="00854993"/>
    <w:rsid w:val="00854B74"/>
    <w:rsid w:val="0085660E"/>
    <w:rsid w:val="00856E1B"/>
    <w:rsid w:val="00860F41"/>
    <w:rsid w:val="00863D0C"/>
    <w:rsid w:val="008641DD"/>
    <w:rsid w:val="008669AA"/>
    <w:rsid w:val="008752B7"/>
    <w:rsid w:val="008756D8"/>
    <w:rsid w:val="00881731"/>
    <w:rsid w:val="00881A84"/>
    <w:rsid w:val="00895472"/>
    <w:rsid w:val="00896567"/>
    <w:rsid w:val="008A19E3"/>
    <w:rsid w:val="008A6256"/>
    <w:rsid w:val="008B7B30"/>
    <w:rsid w:val="008C2447"/>
    <w:rsid w:val="008C3AC0"/>
    <w:rsid w:val="008C4545"/>
    <w:rsid w:val="008C5A59"/>
    <w:rsid w:val="008D0B9B"/>
    <w:rsid w:val="008D1800"/>
    <w:rsid w:val="008D1B3D"/>
    <w:rsid w:val="008D3BE3"/>
    <w:rsid w:val="008D5DFA"/>
    <w:rsid w:val="008D735F"/>
    <w:rsid w:val="008D73A3"/>
    <w:rsid w:val="008E0B4B"/>
    <w:rsid w:val="008E2B75"/>
    <w:rsid w:val="008E7748"/>
    <w:rsid w:val="008F1547"/>
    <w:rsid w:val="008F1CE8"/>
    <w:rsid w:val="008F3841"/>
    <w:rsid w:val="008F3E06"/>
    <w:rsid w:val="008F4491"/>
    <w:rsid w:val="008F6121"/>
    <w:rsid w:val="008F6EE5"/>
    <w:rsid w:val="008F777A"/>
    <w:rsid w:val="00900BB4"/>
    <w:rsid w:val="00903361"/>
    <w:rsid w:val="0090470F"/>
    <w:rsid w:val="009057F1"/>
    <w:rsid w:val="00905853"/>
    <w:rsid w:val="00905BDE"/>
    <w:rsid w:val="009078D2"/>
    <w:rsid w:val="00907AEC"/>
    <w:rsid w:val="00912431"/>
    <w:rsid w:val="009228F6"/>
    <w:rsid w:val="00922E4F"/>
    <w:rsid w:val="00924EAC"/>
    <w:rsid w:val="009270F4"/>
    <w:rsid w:val="00941DE0"/>
    <w:rsid w:val="009420C1"/>
    <w:rsid w:val="009467C9"/>
    <w:rsid w:val="0095059E"/>
    <w:rsid w:val="00953C0B"/>
    <w:rsid w:val="00954E35"/>
    <w:rsid w:val="00960149"/>
    <w:rsid w:val="00961B82"/>
    <w:rsid w:val="0097208E"/>
    <w:rsid w:val="00972318"/>
    <w:rsid w:val="00973ACA"/>
    <w:rsid w:val="0098022D"/>
    <w:rsid w:val="00980C6C"/>
    <w:rsid w:val="009813F7"/>
    <w:rsid w:val="00981743"/>
    <w:rsid w:val="009903DB"/>
    <w:rsid w:val="00991C34"/>
    <w:rsid w:val="00994E57"/>
    <w:rsid w:val="00995E1C"/>
    <w:rsid w:val="009A04E8"/>
    <w:rsid w:val="009A49E7"/>
    <w:rsid w:val="009A67FC"/>
    <w:rsid w:val="009B4005"/>
    <w:rsid w:val="009B6EB8"/>
    <w:rsid w:val="009C1713"/>
    <w:rsid w:val="009C37C6"/>
    <w:rsid w:val="009C3F06"/>
    <w:rsid w:val="009C4CBE"/>
    <w:rsid w:val="009C5CAF"/>
    <w:rsid w:val="009C6C48"/>
    <w:rsid w:val="009C72B6"/>
    <w:rsid w:val="009D1E7F"/>
    <w:rsid w:val="009D2A1B"/>
    <w:rsid w:val="009D4232"/>
    <w:rsid w:val="009E1A66"/>
    <w:rsid w:val="009E1E92"/>
    <w:rsid w:val="009E2E29"/>
    <w:rsid w:val="009E3017"/>
    <w:rsid w:val="009E3A0F"/>
    <w:rsid w:val="009E3AEA"/>
    <w:rsid w:val="009E4259"/>
    <w:rsid w:val="009E643B"/>
    <w:rsid w:val="009E734C"/>
    <w:rsid w:val="009E77A7"/>
    <w:rsid w:val="009F134F"/>
    <w:rsid w:val="009F177F"/>
    <w:rsid w:val="009F4133"/>
    <w:rsid w:val="009F4E55"/>
    <w:rsid w:val="00A022A4"/>
    <w:rsid w:val="00A06C0E"/>
    <w:rsid w:val="00A1775A"/>
    <w:rsid w:val="00A20CEC"/>
    <w:rsid w:val="00A252B8"/>
    <w:rsid w:val="00A26638"/>
    <w:rsid w:val="00A30846"/>
    <w:rsid w:val="00A32D1C"/>
    <w:rsid w:val="00A410CA"/>
    <w:rsid w:val="00A41412"/>
    <w:rsid w:val="00A46187"/>
    <w:rsid w:val="00A464F7"/>
    <w:rsid w:val="00A50A99"/>
    <w:rsid w:val="00A5125F"/>
    <w:rsid w:val="00A514F5"/>
    <w:rsid w:val="00A53AED"/>
    <w:rsid w:val="00A55AB7"/>
    <w:rsid w:val="00A6792D"/>
    <w:rsid w:val="00A75FBA"/>
    <w:rsid w:val="00A7768A"/>
    <w:rsid w:val="00A82242"/>
    <w:rsid w:val="00A841D4"/>
    <w:rsid w:val="00A8483A"/>
    <w:rsid w:val="00A87B69"/>
    <w:rsid w:val="00A90331"/>
    <w:rsid w:val="00A96128"/>
    <w:rsid w:val="00A9767C"/>
    <w:rsid w:val="00AA132E"/>
    <w:rsid w:val="00AA1436"/>
    <w:rsid w:val="00AA1D28"/>
    <w:rsid w:val="00AA3993"/>
    <w:rsid w:val="00AA3AA0"/>
    <w:rsid w:val="00AA47A0"/>
    <w:rsid w:val="00AC3F21"/>
    <w:rsid w:val="00AC68DA"/>
    <w:rsid w:val="00AC7197"/>
    <w:rsid w:val="00AC73F1"/>
    <w:rsid w:val="00AE3027"/>
    <w:rsid w:val="00AE38C0"/>
    <w:rsid w:val="00AE6833"/>
    <w:rsid w:val="00AE697C"/>
    <w:rsid w:val="00AE6A4A"/>
    <w:rsid w:val="00AF1EE7"/>
    <w:rsid w:val="00AF4C62"/>
    <w:rsid w:val="00B003DC"/>
    <w:rsid w:val="00B01CC4"/>
    <w:rsid w:val="00B022BD"/>
    <w:rsid w:val="00B16208"/>
    <w:rsid w:val="00B16C8D"/>
    <w:rsid w:val="00B16FA4"/>
    <w:rsid w:val="00B1709E"/>
    <w:rsid w:val="00B228E6"/>
    <w:rsid w:val="00B23084"/>
    <w:rsid w:val="00B3035C"/>
    <w:rsid w:val="00B30E67"/>
    <w:rsid w:val="00B31B36"/>
    <w:rsid w:val="00B32EC6"/>
    <w:rsid w:val="00B3395E"/>
    <w:rsid w:val="00B34BBA"/>
    <w:rsid w:val="00B35C4E"/>
    <w:rsid w:val="00B37CE9"/>
    <w:rsid w:val="00B41D76"/>
    <w:rsid w:val="00B41F26"/>
    <w:rsid w:val="00B43E8D"/>
    <w:rsid w:val="00B448ED"/>
    <w:rsid w:val="00B4670A"/>
    <w:rsid w:val="00B47010"/>
    <w:rsid w:val="00B50859"/>
    <w:rsid w:val="00B51546"/>
    <w:rsid w:val="00B5546B"/>
    <w:rsid w:val="00B56082"/>
    <w:rsid w:val="00B563BC"/>
    <w:rsid w:val="00B56BC3"/>
    <w:rsid w:val="00B613BD"/>
    <w:rsid w:val="00B61969"/>
    <w:rsid w:val="00B627D5"/>
    <w:rsid w:val="00B63B9E"/>
    <w:rsid w:val="00B65F99"/>
    <w:rsid w:val="00B70753"/>
    <w:rsid w:val="00B712BB"/>
    <w:rsid w:val="00B731AA"/>
    <w:rsid w:val="00B752D5"/>
    <w:rsid w:val="00B87F80"/>
    <w:rsid w:val="00B912E8"/>
    <w:rsid w:val="00B9220D"/>
    <w:rsid w:val="00B93B37"/>
    <w:rsid w:val="00B94043"/>
    <w:rsid w:val="00B96E49"/>
    <w:rsid w:val="00B975A9"/>
    <w:rsid w:val="00BA1DDD"/>
    <w:rsid w:val="00BA3D89"/>
    <w:rsid w:val="00BA6D34"/>
    <w:rsid w:val="00BB087F"/>
    <w:rsid w:val="00BB3AB1"/>
    <w:rsid w:val="00BB48A3"/>
    <w:rsid w:val="00BB694A"/>
    <w:rsid w:val="00BC0012"/>
    <w:rsid w:val="00BC1757"/>
    <w:rsid w:val="00BD224B"/>
    <w:rsid w:val="00BD39C0"/>
    <w:rsid w:val="00BE1272"/>
    <w:rsid w:val="00BE3968"/>
    <w:rsid w:val="00BE58A6"/>
    <w:rsid w:val="00BE69F4"/>
    <w:rsid w:val="00BF4021"/>
    <w:rsid w:val="00C00B34"/>
    <w:rsid w:val="00C02CB9"/>
    <w:rsid w:val="00C03386"/>
    <w:rsid w:val="00C1223F"/>
    <w:rsid w:val="00C12739"/>
    <w:rsid w:val="00C16076"/>
    <w:rsid w:val="00C179D2"/>
    <w:rsid w:val="00C17FF0"/>
    <w:rsid w:val="00C2496B"/>
    <w:rsid w:val="00C24D50"/>
    <w:rsid w:val="00C266E4"/>
    <w:rsid w:val="00C31DA7"/>
    <w:rsid w:val="00C338B7"/>
    <w:rsid w:val="00C347F0"/>
    <w:rsid w:val="00C37BCD"/>
    <w:rsid w:val="00C40365"/>
    <w:rsid w:val="00C4037B"/>
    <w:rsid w:val="00C4105F"/>
    <w:rsid w:val="00C430B8"/>
    <w:rsid w:val="00C44595"/>
    <w:rsid w:val="00C516E5"/>
    <w:rsid w:val="00C55225"/>
    <w:rsid w:val="00C565C9"/>
    <w:rsid w:val="00C60DA7"/>
    <w:rsid w:val="00C643A2"/>
    <w:rsid w:val="00C735F7"/>
    <w:rsid w:val="00C765D0"/>
    <w:rsid w:val="00C86CD5"/>
    <w:rsid w:val="00C947A3"/>
    <w:rsid w:val="00C97711"/>
    <w:rsid w:val="00CA438B"/>
    <w:rsid w:val="00CA545A"/>
    <w:rsid w:val="00CA5DBB"/>
    <w:rsid w:val="00CA6580"/>
    <w:rsid w:val="00CB014D"/>
    <w:rsid w:val="00CB6807"/>
    <w:rsid w:val="00CC5475"/>
    <w:rsid w:val="00CD61A6"/>
    <w:rsid w:val="00CE08CB"/>
    <w:rsid w:val="00CE64A6"/>
    <w:rsid w:val="00CE658E"/>
    <w:rsid w:val="00CF3E23"/>
    <w:rsid w:val="00CF4202"/>
    <w:rsid w:val="00CF4D99"/>
    <w:rsid w:val="00CF57BF"/>
    <w:rsid w:val="00CF723A"/>
    <w:rsid w:val="00CF775B"/>
    <w:rsid w:val="00D007D9"/>
    <w:rsid w:val="00D0277E"/>
    <w:rsid w:val="00D02CB8"/>
    <w:rsid w:val="00D05AB1"/>
    <w:rsid w:val="00D1232C"/>
    <w:rsid w:val="00D12DB2"/>
    <w:rsid w:val="00D1452C"/>
    <w:rsid w:val="00D15E84"/>
    <w:rsid w:val="00D17F87"/>
    <w:rsid w:val="00D23AE4"/>
    <w:rsid w:val="00D26DF5"/>
    <w:rsid w:val="00D3171C"/>
    <w:rsid w:val="00D37726"/>
    <w:rsid w:val="00D41909"/>
    <w:rsid w:val="00D45714"/>
    <w:rsid w:val="00D473A3"/>
    <w:rsid w:val="00D47EAF"/>
    <w:rsid w:val="00D50007"/>
    <w:rsid w:val="00D5050D"/>
    <w:rsid w:val="00D52BAC"/>
    <w:rsid w:val="00D56C44"/>
    <w:rsid w:val="00D62072"/>
    <w:rsid w:val="00D6366A"/>
    <w:rsid w:val="00D65CA7"/>
    <w:rsid w:val="00D743AE"/>
    <w:rsid w:val="00D804F8"/>
    <w:rsid w:val="00D813DD"/>
    <w:rsid w:val="00D84C10"/>
    <w:rsid w:val="00D9085F"/>
    <w:rsid w:val="00D92993"/>
    <w:rsid w:val="00D94E70"/>
    <w:rsid w:val="00DA15CA"/>
    <w:rsid w:val="00DA28D9"/>
    <w:rsid w:val="00DA479B"/>
    <w:rsid w:val="00DA792D"/>
    <w:rsid w:val="00DA7C97"/>
    <w:rsid w:val="00DB4641"/>
    <w:rsid w:val="00DB4F24"/>
    <w:rsid w:val="00DB6ADE"/>
    <w:rsid w:val="00DB764D"/>
    <w:rsid w:val="00DC07C3"/>
    <w:rsid w:val="00DC39F7"/>
    <w:rsid w:val="00DC69C8"/>
    <w:rsid w:val="00DC76BC"/>
    <w:rsid w:val="00DD1EE6"/>
    <w:rsid w:val="00DD510C"/>
    <w:rsid w:val="00DE1D4F"/>
    <w:rsid w:val="00DE217A"/>
    <w:rsid w:val="00DE423B"/>
    <w:rsid w:val="00DE5507"/>
    <w:rsid w:val="00DE5570"/>
    <w:rsid w:val="00DE5B40"/>
    <w:rsid w:val="00DE70B4"/>
    <w:rsid w:val="00DE7E92"/>
    <w:rsid w:val="00DF0A05"/>
    <w:rsid w:val="00DF5DF1"/>
    <w:rsid w:val="00E06A09"/>
    <w:rsid w:val="00E06D97"/>
    <w:rsid w:val="00E105F4"/>
    <w:rsid w:val="00E15EEE"/>
    <w:rsid w:val="00E20A55"/>
    <w:rsid w:val="00E232EC"/>
    <w:rsid w:val="00E247BD"/>
    <w:rsid w:val="00E31FE7"/>
    <w:rsid w:val="00E3377A"/>
    <w:rsid w:val="00E3530A"/>
    <w:rsid w:val="00E35C99"/>
    <w:rsid w:val="00E40177"/>
    <w:rsid w:val="00E4444D"/>
    <w:rsid w:val="00E46395"/>
    <w:rsid w:val="00E50C82"/>
    <w:rsid w:val="00E549D4"/>
    <w:rsid w:val="00E571FE"/>
    <w:rsid w:val="00E57E4D"/>
    <w:rsid w:val="00E61D67"/>
    <w:rsid w:val="00E65DB9"/>
    <w:rsid w:val="00E66806"/>
    <w:rsid w:val="00E70C8A"/>
    <w:rsid w:val="00E71E62"/>
    <w:rsid w:val="00E733CD"/>
    <w:rsid w:val="00E8354B"/>
    <w:rsid w:val="00E84448"/>
    <w:rsid w:val="00E87B0E"/>
    <w:rsid w:val="00E913ED"/>
    <w:rsid w:val="00E916B1"/>
    <w:rsid w:val="00E94542"/>
    <w:rsid w:val="00E95AA4"/>
    <w:rsid w:val="00E97A9E"/>
    <w:rsid w:val="00EA0646"/>
    <w:rsid w:val="00EA1431"/>
    <w:rsid w:val="00EA50BB"/>
    <w:rsid w:val="00EB178A"/>
    <w:rsid w:val="00EB19EE"/>
    <w:rsid w:val="00EC182F"/>
    <w:rsid w:val="00EC2334"/>
    <w:rsid w:val="00EC50B0"/>
    <w:rsid w:val="00EC6AE6"/>
    <w:rsid w:val="00ED4811"/>
    <w:rsid w:val="00ED4893"/>
    <w:rsid w:val="00ED5902"/>
    <w:rsid w:val="00ED5A49"/>
    <w:rsid w:val="00ED5E39"/>
    <w:rsid w:val="00ED69C3"/>
    <w:rsid w:val="00EE1093"/>
    <w:rsid w:val="00EE388F"/>
    <w:rsid w:val="00EF0A59"/>
    <w:rsid w:val="00EF121D"/>
    <w:rsid w:val="00EF13D8"/>
    <w:rsid w:val="00EF3D43"/>
    <w:rsid w:val="00EF48B5"/>
    <w:rsid w:val="00EF6028"/>
    <w:rsid w:val="00F035DB"/>
    <w:rsid w:val="00F0636F"/>
    <w:rsid w:val="00F074E5"/>
    <w:rsid w:val="00F117FB"/>
    <w:rsid w:val="00F12D49"/>
    <w:rsid w:val="00F14A28"/>
    <w:rsid w:val="00F1580B"/>
    <w:rsid w:val="00F258E3"/>
    <w:rsid w:val="00F308DF"/>
    <w:rsid w:val="00F30932"/>
    <w:rsid w:val="00F31A57"/>
    <w:rsid w:val="00F32D6E"/>
    <w:rsid w:val="00F34D33"/>
    <w:rsid w:val="00F361ED"/>
    <w:rsid w:val="00F417AE"/>
    <w:rsid w:val="00F5063F"/>
    <w:rsid w:val="00F50A39"/>
    <w:rsid w:val="00F61A75"/>
    <w:rsid w:val="00F63BC9"/>
    <w:rsid w:val="00F65B99"/>
    <w:rsid w:val="00F70216"/>
    <w:rsid w:val="00F72B95"/>
    <w:rsid w:val="00F75014"/>
    <w:rsid w:val="00F752E3"/>
    <w:rsid w:val="00F76C1D"/>
    <w:rsid w:val="00F82696"/>
    <w:rsid w:val="00F85008"/>
    <w:rsid w:val="00F858B3"/>
    <w:rsid w:val="00F95752"/>
    <w:rsid w:val="00FA0A33"/>
    <w:rsid w:val="00FA1157"/>
    <w:rsid w:val="00FA12F7"/>
    <w:rsid w:val="00FA35D6"/>
    <w:rsid w:val="00FA4D96"/>
    <w:rsid w:val="00FB1257"/>
    <w:rsid w:val="00FB38DA"/>
    <w:rsid w:val="00FB458D"/>
    <w:rsid w:val="00FC1392"/>
    <w:rsid w:val="00FC3993"/>
    <w:rsid w:val="00FC64BA"/>
    <w:rsid w:val="00FC78F1"/>
    <w:rsid w:val="00FE22FF"/>
    <w:rsid w:val="00FF1773"/>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15:docId w15:val="{5064D0E7-6F3A-44F8-84B0-BB3361F9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0968592">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612631808">
      <w:bodyDiv w:val="1"/>
      <w:marLeft w:val="0"/>
      <w:marRight w:val="0"/>
      <w:marTop w:val="0"/>
      <w:marBottom w:val="0"/>
      <w:divBdr>
        <w:top w:val="none" w:sz="0" w:space="0" w:color="auto"/>
        <w:left w:val="none" w:sz="0" w:space="0" w:color="auto"/>
        <w:bottom w:val="none" w:sz="0" w:space="0" w:color="auto"/>
        <w:right w:val="none" w:sz="0" w:space="0" w:color="auto"/>
      </w:divBdr>
    </w:div>
    <w:div w:id="640580941">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56355817">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11440126">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2429">
      <w:bodyDiv w:val="1"/>
      <w:marLeft w:val="0"/>
      <w:marRight w:val="0"/>
      <w:marTop w:val="0"/>
      <w:marBottom w:val="0"/>
      <w:divBdr>
        <w:top w:val="none" w:sz="0" w:space="0" w:color="auto"/>
        <w:left w:val="none" w:sz="0" w:space="0" w:color="auto"/>
        <w:bottom w:val="none" w:sz="0" w:space="0" w:color="auto"/>
        <w:right w:val="none" w:sz="0" w:space="0" w:color="auto"/>
      </w:divBdr>
    </w:div>
    <w:div w:id="2053994540">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FC16-8146-4A12-8E5A-05CD4358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Committe;Moz@Endocyte.com;Dewaraja &amp; Seibyl;Editors</dc:creator>
  <cp:lastModifiedBy>Mozely, P. David</cp:lastModifiedBy>
  <cp:revision>4</cp:revision>
  <cp:lastPrinted>2015-10-21T21:08:00Z</cp:lastPrinted>
  <dcterms:created xsi:type="dcterms:W3CDTF">2016-10-31T21:27:00Z</dcterms:created>
  <dcterms:modified xsi:type="dcterms:W3CDTF">2016-10-31T21:30:00Z</dcterms:modified>
</cp:coreProperties>
</file>